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exact"/>
        <w:ind w:firstLine="723"/>
        <w:jc w:val="center"/>
        <w:rPr>
          <w:rFonts w:hint="default" w:ascii="Times New Roman" w:hAnsi="Times New Roman" w:cs="Times New Roman"/>
          <w:b/>
          <w:color w:val="000000" w:themeColor="text1"/>
          <w:sz w:val="36"/>
          <w:szCs w:val="36"/>
          <w:highlight w:val="none"/>
          <w14:textFill>
            <w14:solidFill>
              <w14:schemeClr w14:val="tx1"/>
            </w14:solidFill>
          </w14:textFill>
        </w:rPr>
      </w:pPr>
      <w:r>
        <w:rPr>
          <w:rFonts w:hint="default" w:ascii="Times New Roman" w:hAnsi="Times New Roman" w:cs="Times New Roman"/>
          <w:b/>
          <w:color w:val="000000" w:themeColor="text1"/>
          <w:sz w:val="36"/>
          <w:szCs w:val="36"/>
          <w:highlight w:val="none"/>
          <w14:textFill>
            <w14:solidFill>
              <w14:schemeClr w14:val="tx1"/>
            </w14:solidFill>
          </w14:textFill>
        </w:rPr>
        <w:t>暨南大学引进人才聘任合同</w:t>
      </w:r>
      <w:bookmarkStart w:id="0" w:name="_GoBack"/>
      <w:bookmarkEnd w:id="0"/>
    </w:p>
    <w:p>
      <w:pPr>
        <w:shd w:val="clear" w:color="auto" w:fill="FFFFFF"/>
        <w:adjustRightInd w:val="0"/>
        <w:snapToGrid w:val="0"/>
        <w:spacing w:line="480" w:lineRule="exact"/>
        <w:ind w:firstLine="560"/>
        <w:jc w:val="both"/>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（青蓝学者）</w:t>
      </w:r>
    </w:p>
    <w:p>
      <w:pPr>
        <w:shd w:val="clear" w:color="auto" w:fill="FFFFFF"/>
        <w:adjustRightInd w:val="0"/>
        <w:snapToGrid w:val="0"/>
        <w:spacing w:line="480" w:lineRule="exact"/>
        <w:ind w:firstLine="560"/>
        <w:jc w:val="both"/>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 xml:space="preserve">甲  方：暨南大学 </w:t>
      </w:r>
    </w:p>
    <w:p>
      <w:pPr>
        <w:shd w:val="clear" w:color="auto" w:fill="FFFFFF"/>
        <w:adjustRightInd w:val="0"/>
        <w:snapToGrid w:val="0"/>
        <w:spacing w:line="480" w:lineRule="exact"/>
        <w:ind w:firstLine="560"/>
        <w:jc w:val="both"/>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 xml:space="preserve">乙  方：        </w:t>
      </w:r>
    </w:p>
    <w:p>
      <w:pPr>
        <w:shd w:val="clear" w:color="auto" w:fill="FFFFFF"/>
        <w:adjustRightInd w:val="0"/>
        <w:snapToGrid w:val="0"/>
        <w:spacing w:line="480" w:lineRule="exact"/>
        <w:ind w:firstLine="560"/>
        <w:jc w:val="both"/>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证件号：（乙方）</w:t>
      </w:r>
    </w:p>
    <w:p>
      <w:pPr>
        <w:shd w:val="clear" w:color="auto" w:fill="FFFFFF"/>
        <w:adjustRightInd w:val="0"/>
        <w:snapToGrid w:val="0"/>
        <w:spacing w:line="480" w:lineRule="exact"/>
        <w:ind w:firstLine="560"/>
        <w:jc w:val="both"/>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 xml:space="preserve">丙  方：（所在学院、系、所）  </w:t>
      </w:r>
    </w:p>
    <w:p>
      <w:pPr>
        <w:shd w:val="clear" w:color="auto" w:fill="FFFFFF"/>
        <w:adjustRightInd w:val="0"/>
        <w:snapToGrid w:val="0"/>
        <w:spacing w:line="480" w:lineRule="exact"/>
        <w:ind w:firstLine="560"/>
        <w:jc w:val="both"/>
        <w:rPr>
          <w:rFonts w:hint="default" w:ascii="Times New Roman" w:hAnsi="Times New Roman" w:cs="Times New Roman"/>
          <w:color w:val="000000" w:themeColor="text1"/>
          <w:highlight w:val="none"/>
          <w14:textFill>
            <w14:solidFill>
              <w14:schemeClr w14:val="tx1"/>
            </w14:solidFill>
          </w14:textFill>
        </w:rPr>
      </w:pPr>
    </w:p>
    <w:p>
      <w:pPr>
        <w:pStyle w:val="11"/>
        <w:adjustRightInd w:val="0"/>
        <w:spacing w:line="480" w:lineRule="exact"/>
        <w:ind w:firstLine="360"/>
        <w:jc w:val="both"/>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为保证引进人才能够潜心开展教学科研工作，促进高层次人才培养的顺利实施，保障</w:t>
      </w:r>
      <w:r>
        <w:rPr>
          <w:rFonts w:hint="default" w:ascii="Times New Roman" w:hAnsi="Times New Roman" w:cs="Times New Roman"/>
          <w:color w:val="000000" w:themeColor="text1"/>
          <w:highlight w:val="none"/>
          <w14:textFill>
            <w14:solidFill>
              <w14:schemeClr w14:val="tx1"/>
            </w14:solidFill>
          </w14:textFill>
        </w:rPr>
        <w:t>甲乙</w:t>
      </w:r>
      <w:r>
        <w:rPr>
          <w:rFonts w:hint="default" w:ascii="Times New Roman" w:hAnsi="Times New Roman" w:cs="Times New Roman"/>
          <w:color w:val="000000" w:themeColor="text1"/>
          <w:highlight w:val="none"/>
          <w:lang w:val="en-US" w:eastAsia="zh-CN"/>
          <w14:textFill>
            <w14:solidFill>
              <w14:schemeClr w14:val="tx1"/>
            </w14:solidFill>
          </w14:textFill>
        </w:rPr>
        <w:t>丙三</w:t>
      </w:r>
      <w:r>
        <w:rPr>
          <w:rFonts w:hint="default" w:ascii="Times New Roman" w:hAnsi="Times New Roman" w:cs="Times New Roman"/>
          <w:color w:val="000000" w:themeColor="text1"/>
          <w:highlight w:val="none"/>
          <w14:textFill>
            <w14:solidFill>
              <w14:schemeClr w14:val="tx1"/>
            </w14:solidFill>
          </w14:textFill>
        </w:rPr>
        <w:t>方的合法权益，经</w:t>
      </w:r>
      <w:r>
        <w:rPr>
          <w:rFonts w:hint="default" w:ascii="Times New Roman" w:hAnsi="Times New Roman" w:cs="Times New Roman"/>
          <w:color w:val="000000" w:themeColor="text1"/>
          <w:highlight w:val="none"/>
          <w:lang w:val="en-US" w:eastAsia="zh-CN"/>
          <w14:textFill>
            <w14:solidFill>
              <w14:schemeClr w14:val="tx1"/>
            </w14:solidFill>
          </w14:textFill>
        </w:rPr>
        <w:t>三</w:t>
      </w:r>
      <w:r>
        <w:rPr>
          <w:rFonts w:hint="default" w:ascii="Times New Roman" w:hAnsi="Times New Roman" w:cs="Times New Roman"/>
          <w:color w:val="000000" w:themeColor="text1"/>
          <w:highlight w:val="none"/>
          <w14:textFill>
            <w14:solidFill>
              <w14:schemeClr w14:val="tx1"/>
            </w14:solidFill>
          </w14:textFill>
        </w:rPr>
        <w:t>方平等协</w:t>
      </w:r>
      <w:r>
        <w:rPr>
          <w:rFonts w:hint="default" w:ascii="Times New Roman" w:hAnsi="Times New Roman" w:cs="Times New Roman"/>
          <w:color w:val="000000" w:themeColor="text1"/>
          <w:highlight w:val="none"/>
          <w14:textFill>
            <w14:solidFill>
              <w14:schemeClr w14:val="tx1"/>
            </w14:solidFill>
          </w14:textFill>
        </w:rPr>
        <w:t>商，订立本合同。</w:t>
      </w:r>
    </w:p>
    <w:p>
      <w:pPr>
        <w:pStyle w:val="11"/>
        <w:adjustRightInd w:val="0"/>
        <w:spacing w:line="480" w:lineRule="exact"/>
        <w:ind w:firstLine="360"/>
        <w:jc w:val="both"/>
        <w:rPr>
          <w:rFonts w:hint="default" w:ascii="Times New Roman" w:hAnsi="Times New Roman" w:cs="Times New Roman"/>
          <w:color w:val="000000" w:themeColor="text1"/>
          <w:highlight w:val="none"/>
          <w14:textFill>
            <w14:solidFill>
              <w14:schemeClr w14:val="tx1"/>
            </w14:solidFill>
          </w14:textFill>
        </w:rPr>
      </w:pPr>
    </w:p>
    <w:p>
      <w:pPr>
        <w:shd w:val="clear" w:color="auto" w:fill="FFFFFF"/>
        <w:adjustRightInd w:val="0"/>
        <w:snapToGrid w:val="0"/>
        <w:spacing w:line="480" w:lineRule="exact"/>
        <w:ind w:firstLine="562"/>
        <w:jc w:val="both"/>
        <w:rPr>
          <w:rFonts w:hint="default" w:ascii="Times New Roman" w:hAnsi="Times New Roman" w:eastAsia="黑体" w:cs="Times New Roman"/>
          <w:b/>
          <w:color w:val="000000" w:themeColor="text1"/>
          <w:highlight w:val="none"/>
          <w14:textFill>
            <w14:solidFill>
              <w14:schemeClr w14:val="tx1"/>
            </w14:solidFill>
          </w14:textFill>
        </w:rPr>
      </w:pPr>
      <w:r>
        <w:rPr>
          <w:rFonts w:hint="default" w:ascii="Times New Roman" w:hAnsi="Times New Roman" w:eastAsia="黑体" w:cs="Times New Roman"/>
          <w:b/>
          <w:color w:val="000000" w:themeColor="text1"/>
          <w:highlight w:val="none"/>
          <w14:textFill>
            <w14:solidFill>
              <w14:schemeClr w14:val="tx1"/>
            </w14:solidFill>
          </w14:textFill>
        </w:rPr>
        <w:t>第一条</w:t>
      </w:r>
      <w:r>
        <w:rPr>
          <w:rFonts w:hint="default" w:ascii="Times New Roman" w:hAnsi="Times New Roman" w:eastAsia="黑体" w:cs="Times New Roman"/>
          <w:b/>
          <w:color w:val="000000" w:themeColor="text1"/>
          <w:highlight w:val="none"/>
          <w14:textFill>
            <w14:solidFill>
              <w14:schemeClr w14:val="tx1"/>
            </w14:solidFill>
          </w14:textFill>
        </w:rPr>
        <w:tab/>
      </w:r>
      <w:r>
        <w:rPr>
          <w:rFonts w:hint="default" w:ascii="Times New Roman" w:hAnsi="Times New Roman" w:eastAsia="黑体" w:cs="Times New Roman"/>
          <w:b/>
          <w:color w:val="000000" w:themeColor="text1"/>
          <w:highlight w:val="none"/>
          <w14:textFill>
            <w14:solidFill>
              <w14:schemeClr w14:val="tx1"/>
            </w14:solidFill>
          </w14:textFill>
        </w:rPr>
        <w:t>聘期</w:t>
      </w:r>
    </w:p>
    <w:p>
      <w:pPr>
        <w:pStyle w:val="11"/>
        <w:adjustRightInd w:val="0"/>
        <w:spacing w:line="480" w:lineRule="exact"/>
        <w:jc w:val="both"/>
        <w:rPr>
          <w:rFonts w:hint="default" w:ascii="Times New Roman" w:hAnsi="Times New Roman" w:cs="Times New Roman"/>
          <w:b/>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根据《暨南大学新聘教学科研人员管理暂行办法》（暨人〔2015〕118号文）、</w:t>
      </w:r>
      <w:r>
        <w:rPr>
          <w:rFonts w:hint="default" w:ascii="Times New Roman" w:hAnsi="Times New Roman" w:cs="Times New Roman"/>
          <w:highlight w:val="none"/>
        </w:rPr>
        <w:t>《暨南大学人才引进暂行办法》（暨人〔2017〕120号）、《暨南大学新聘教学科研人员管理暂行办法的补充规定》（暨人〔2019〕54号）、</w:t>
      </w:r>
      <w:r>
        <w:rPr>
          <w:rFonts w:hint="default" w:ascii="Times New Roman" w:hAnsi="Times New Roman" w:cs="Times New Roman"/>
          <w:highlight w:val="none"/>
        </w:rPr>
        <w:t>《暨南大学新聘人员首聘期期满考核后相关待遇的补充规定》（暨人〔2019〕90号）、《关于对《暨南大学人才引进暂行办法》相关条款进行修改的通知》（暨人〔2020〕126号）</w:t>
      </w:r>
      <w:r>
        <w:rPr>
          <w:rFonts w:hint="default" w:ascii="Times New Roman" w:hAnsi="Times New Roman" w:cs="Times New Roman"/>
          <w:highlight w:val="none"/>
          <w:lang w:val="en-US" w:eastAsia="zh-CN"/>
        </w:rPr>
        <w:t>之规定，</w:t>
      </w:r>
      <w:r>
        <w:rPr>
          <w:rFonts w:hint="default" w:ascii="Times New Roman" w:hAnsi="Times New Roman" w:cs="Times New Roman"/>
          <w:highlight w:val="none"/>
        </w:rPr>
        <w:t>获批第四层次副高及以下层次的专任教师，实行准聘制，纳入准聘轨道，实行合同管理。准聘期为六年，分首聘期及续聘期两个三年聘期。</w:t>
      </w:r>
      <w:r>
        <w:rPr>
          <w:rFonts w:hint="default" w:ascii="Times New Roman" w:hAnsi="Times New Roman" w:cs="Times New Roman"/>
          <w:highlight w:val="none"/>
          <w:lang w:eastAsia="zh-CN"/>
        </w:rPr>
        <w:t>同时按照</w:t>
      </w:r>
      <w:r>
        <w:rPr>
          <w:rFonts w:hint="default" w:ascii="Times New Roman" w:hAnsi="Times New Roman" w:cs="Times New Roman"/>
          <w:color w:val="000000" w:themeColor="text1"/>
          <w:highlight w:val="none"/>
          <w14:textFill>
            <w14:solidFill>
              <w14:schemeClr w14:val="tx1"/>
            </w14:solidFill>
          </w14:textFill>
        </w:rPr>
        <w:t>《暨南大学“青蓝学者”支持计划实施办法（试行）》（暨人〔2019〕142号），</w:t>
      </w:r>
      <w:r>
        <w:rPr>
          <w:rFonts w:hint="default" w:ascii="Times New Roman" w:hAnsi="Times New Roman" w:cs="Times New Roman"/>
          <w:color w:val="000000" w:themeColor="text1"/>
          <w:highlight w:val="none"/>
          <w:lang w:eastAsia="zh-CN"/>
          <w14:textFill>
            <w14:solidFill>
              <w14:schemeClr w14:val="tx1"/>
            </w14:solidFill>
          </w14:textFill>
        </w:rPr>
        <w:t>首聘期内</w:t>
      </w:r>
      <w:r>
        <w:rPr>
          <w:rFonts w:hint="default" w:ascii="Times New Roman" w:hAnsi="Times New Roman" w:cs="Times New Roman"/>
          <w:color w:val="000000" w:themeColor="text1"/>
          <w:highlight w:val="none"/>
          <w14:textFill>
            <w14:solidFill>
              <w14:schemeClr w14:val="tx1"/>
            </w14:solidFill>
          </w14:textFill>
        </w:rPr>
        <w:t>甲方聘任乙方为暨南大学青蓝学者，聘期三年。聘任时间从报到之日算起。聘期满，聘用合同自动终止</w:t>
      </w:r>
      <w:r>
        <w:rPr>
          <w:rFonts w:hint="default" w:ascii="Times New Roman" w:hAnsi="Times New Roman" w:cs="Times New Roman"/>
          <w:color w:val="000000" w:themeColor="text1"/>
          <w:highlight w:val="none"/>
          <w:lang w:eastAsia="zh-CN"/>
          <w14:textFill>
            <w14:solidFill>
              <w14:schemeClr w14:val="tx1"/>
            </w14:solidFill>
          </w14:textFill>
        </w:rPr>
        <w:t>，并根据聘期考核结果及“青蓝学者”管理办法，确定续聘期相关事宜</w:t>
      </w:r>
      <w:r>
        <w:rPr>
          <w:rFonts w:hint="default" w:ascii="Times New Roman" w:hAnsi="Times New Roman" w:cs="Times New Roman"/>
          <w:color w:val="000000" w:themeColor="text1"/>
          <w:highlight w:val="none"/>
          <w14:textFill>
            <w14:solidFill>
              <w14:schemeClr w14:val="tx1"/>
            </w14:solidFill>
          </w14:textFill>
        </w:rPr>
        <w:t>。本合同约定</w:t>
      </w:r>
      <w:r>
        <w:rPr>
          <w:rFonts w:hint="default" w:ascii="Times New Roman" w:hAnsi="Times New Roman" w:cs="Times New Roman"/>
          <w:color w:val="000000" w:themeColor="text1"/>
          <w:highlight w:val="none"/>
          <w:lang w:eastAsia="zh-CN"/>
          <w14:textFill>
            <w14:solidFill>
              <w14:schemeClr w14:val="tx1"/>
            </w14:solidFill>
          </w14:textFill>
        </w:rPr>
        <w:t>首</w:t>
      </w:r>
      <w:r>
        <w:rPr>
          <w:rFonts w:hint="default" w:ascii="Times New Roman" w:hAnsi="Times New Roman" w:cs="Times New Roman"/>
          <w:color w:val="000000" w:themeColor="text1"/>
          <w:highlight w:val="none"/>
          <w14:textFill>
            <w14:solidFill>
              <w14:schemeClr w14:val="tx1"/>
            </w14:solidFill>
          </w14:textFill>
        </w:rPr>
        <w:t>聘期三年的工作目标、任务和条件。</w:t>
      </w:r>
    </w:p>
    <w:p>
      <w:pPr>
        <w:pStyle w:val="11"/>
        <w:adjustRightInd w:val="0"/>
        <w:spacing w:line="480" w:lineRule="exact"/>
        <w:ind w:firstLine="361"/>
        <w:jc w:val="both"/>
        <w:rPr>
          <w:rFonts w:hint="default" w:ascii="Times New Roman" w:hAnsi="Times New Roman" w:cs="Times New Roman"/>
          <w:b/>
          <w:color w:val="000000" w:themeColor="text1"/>
          <w:highlight w:val="none"/>
          <w14:textFill>
            <w14:solidFill>
              <w14:schemeClr w14:val="tx1"/>
            </w14:solidFill>
          </w14:textFill>
        </w:rPr>
      </w:pPr>
    </w:p>
    <w:p>
      <w:pPr>
        <w:shd w:val="clear" w:color="auto" w:fill="FFFFFF"/>
        <w:adjustRightInd w:val="0"/>
        <w:snapToGrid w:val="0"/>
        <w:spacing w:line="480" w:lineRule="exact"/>
        <w:ind w:firstLine="562"/>
        <w:jc w:val="both"/>
        <w:rPr>
          <w:rFonts w:hint="default" w:ascii="Times New Roman" w:hAnsi="Times New Roman" w:eastAsia="黑体" w:cs="Times New Roman"/>
          <w:b/>
          <w:color w:val="000000" w:themeColor="text1"/>
          <w:highlight w:val="none"/>
          <w14:textFill>
            <w14:solidFill>
              <w14:schemeClr w14:val="tx1"/>
            </w14:solidFill>
          </w14:textFill>
        </w:rPr>
      </w:pPr>
      <w:r>
        <w:rPr>
          <w:rFonts w:hint="default" w:ascii="Times New Roman" w:hAnsi="Times New Roman" w:eastAsia="黑体" w:cs="Times New Roman"/>
          <w:b/>
          <w:color w:val="000000" w:themeColor="text1"/>
          <w:highlight w:val="none"/>
          <w14:textFill>
            <w14:solidFill>
              <w14:schemeClr w14:val="tx1"/>
            </w14:solidFill>
          </w14:textFill>
        </w:rPr>
        <w:t>第二条</w:t>
      </w:r>
      <w:r>
        <w:rPr>
          <w:rFonts w:hint="default" w:ascii="Times New Roman" w:hAnsi="Times New Roman" w:eastAsia="黑体" w:cs="Times New Roman"/>
          <w:b/>
          <w:color w:val="000000" w:themeColor="text1"/>
          <w:highlight w:val="none"/>
          <w14:textFill>
            <w14:solidFill>
              <w14:schemeClr w14:val="tx1"/>
            </w14:solidFill>
          </w14:textFill>
        </w:rPr>
        <w:tab/>
      </w:r>
      <w:r>
        <w:rPr>
          <w:rFonts w:hint="default" w:ascii="Times New Roman" w:hAnsi="Times New Roman" w:eastAsia="黑体" w:cs="Times New Roman"/>
          <w:b/>
          <w:color w:val="000000" w:themeColor="text1"/>
          <w:highlight w:val="none"/>
          <w14:textFill>
            <w14:solidFill>
              <w14:schemeClr w14:val="tx1"/>
            </w14:solidFill>
          </w14:textFill>
        </w:rPr>
        <w:t>乙方在聘期三年内的岗位工作目标及任务</w:t>
      </w:r>
    </w:p>
    <w:p>
      <w:pPr>
        <w:shd w:val="clear" w:color="auto" w:fill="FFFFFF"/>
        <w:adjustRightInd w:val="0"/>
        <w:snapToGrid w:val="0"/>
        <w:spacing w:line="480" w:lineRule="exact"/>
        <w:ind w:firstLine="560"/>
        <w:jc w:val="both"/>
        <w:rPr>
          <w:rFonts w:hint="default" w:ascii="Times New Roman" w:hAnsi="Times New Roman" w:cs="Times New Roman"/>
          <w:b/>
          <w:bCs/>
          <w:color w:val="FF0000"/>
          <w:highlight w:val="none"/>
        </w:rPr>
      </w:pPr>
      <w:r>
        <w:rPr>
          <w:rFonts w:hint="default" w:ascii="Times New Roman" w:hAnsi="Times New Roman" w:cs="Times New Roman"/>
          <w:b/>
          <w:bCs/>
          <w:color w:val="FF0000"/>
          <w:highlight w:val="none"/>
        </w:rPr>
        <w:t>一、学科建设</w:t>
      </w:r>
    </w:p>
    <w:p>
      <w:pPr>
        <w:adjustRightInd w:val="0"/>
        <w:snapToGrid w:val="0"/>
        <w:spacing w:line="480" w:lineRule="exact"/>
        <w:ind w:firstLine="560"/>
        <w:jc w:val="both"/>
        <w:rPr>
          <w:rFonts w:hint="default" w:ascii="Times New Roman" w:hAnsi="Times New Roman" w:cs="Times New Roman"/>
          <w:color w:val="FF0000"/>
          <w:highlight w:val="none"/>
        </w:rPr>
      </w:pPr>
      <w:r>
        <w:rPr>
          <w:rFonts w:hint="default" w:ascii="Times New Roman" w:hAnsi="Times New Roman" w:cs="Times New Roman"/>
          <w:color w:val="FF0000"/>
          <w:highlight w:val="none"/>
        </w:rPr>
        <w:t>1.</w:t>
      </w:r>
      <w:r>
        <w:rPr>
          <w:rFonts w:hint="eastAsia" w:ascii="Times New Roman" w:hAnsi="Times New Roman" w:cs="Times New Roman"/>
          <w:color w:val="FF0000"/>
          <w:highlight w:val="none"/>
          <w:lang w:val="en-US" w:eastAsia="zh-CN"/>
        </w:rPr>
        <w:t>乙方</w:t>
      </w:r>
      <w:r>
        <w:rPr>
          <w:rFonts w:hint="default" w:ascii="Times New Roman" w:hAnsi="Times New Roman" w:cs="Times New Roman"/>
          <w:color w:val="FF0000"/>
          <w:highlight w:val="none"/>
        </w:rPr>
        <w:t>的学科方向和聘期内的学科建设目标与任务</w:t>
      </w:r>
    </w:p>
    <w:p>
      <w:pPr>
        <w:adjustRightInd w:val="0"/>
        <w:snapToGrid w:val="0"/>
        <w:spacing w:line="480" w:lineRule="exact"/>
        <w:ind w:firstLine="560"/>
        <w:jc w:val="both"/>
        <w:rPr>
          <w:rFonts w:hint="default" w:ascii="Times New Roman" w:hAnsi="Times New Roman" w:cs="Times New Roman"/>
          <w:color w:val="FF0000"/>
          <w:highlight w:val="none"/>
        </w:rPr>
      </w:pPr>
      <w:r>
        <w:rPr>
          <w:rFonts w:hint="default" w:ascii="Times New Roman" w:hAnsi="Times New Roman" w:cs="Times New Roman"/>
          <w:color w:val="FF0000"/>
          <w:highlight w:val="none"/>
        </w:rPr>
        <w:t>2.其他促进所在单位学科建设的工作</w:t>
      </w:r>
    </w:p>
    <w:p>
      <w:pPr>
        <w:shd w:val="clear" w:color="auto" w:fill="FFFFFF"/>
        <w:adjustRightInd w:val="0"/>
        <w:snapToGrid w:val="0"/>
        <w:spacing w:line="480" w:lineRule="exact"/>
        <w:ind w:firstLine="560"/>
        <w:jc w:val="both"/>
        <w:rPr>
          <w:rFonts w:hint="default" w:ascii="Times New Roman" w:hAnsi="Times New Roman" w:cs="Times New Roman"/>
          <w:color w:val="FF0000"/>
          <w:highlight w:val="none"/>
        </w:rPr>
      </w:pPr>
    </w:p>
    <w:p>
      <w:pPr>
        <w:shd w:val="clear" w:color="auto" w:fill="FFFFFF"/>
        <w:adjustRightInd w:val="0"/>
        <w:snapToGrid w:val="0"/>
        <w:spacing w:line="480" w:lineRule="exact"/>
        <w:ind w:firstLine="560"/>
        <w:jc w:val="both"/>
        <w:rPr>
          <w:rFonts w:hint="default" w:ascii="Times New Roman" w:hAnsi="Times New Roman" w:cs="Times New Roman"/>
          <w:b/>
          <w:bCs/>
          <w:color w:val="FF0000"/>
          <w:highlight w:val="none"/>
        </w:rPr>
      </w:pPr>
      <w:r>
        <w:rPr>
          <w:rFonts w:hint="default" w:ascii="Times New Roman" w:hAnsi="Times New Roman" w:cs="Times New Roman"/>
          <w:b/>
          <w:bCs/>
          <w:color w:val="FF0000"/>
          <w:highlight w:val="none"/>
        </w:rPr>
        <w:t>二、学生培养</w:t>
      </w:r>
    </w:p>
    <w:p>
      <w:pPr>
        <w:shd w:val="clear" w:color="auto" w:fill="FFFFFF"/>
        <w:adjustRightInd w:val="0"/>
        <w:snapToGrid w:val="0"/>
        <w:spacing w:line="480" w:lineRule="exact"/>
        <w:ind w:firstLine="560"/>
        <w:jc w:val="both"/>
        <w:rPr>
          <w:rFonts w:hint="default" w:ascii="Times New Roman" w:hAnsi="Times New Roman" w:cs="Times New Roman"/>
          <w:color w:val="FF0000"/>
          <w:highlight w:val="none"/>
        </w:rPr>
      </w:pPr>
      <w:r>
        <w:rPr>
          <w:rFonts w:hint="default" w:ascii="Times New Roman" w:hAnsi="Times New Roman" w:cs="Times New Roman"/>
          <w:color w:val="FF0000"/>
          <w:highlight w:val="none"/>
        </w:rPr>
        <w:t>（本科教学及研究生培养等，教学科研岗位人员承担本科生教学任务，每学年至少为本科生或研究生讲授1门课程）</w:t>
      </w:r>
    </w:p>
    <w:p>
      <w:pPr>
        <w:shd w:val="clear" w:color="auto" w:fill="FFFFFF"/>
        <w:adjustRightInd w:val="0"/>
        <w:snapToGrid w:val="0"/>
        <w:spacing w:line="480" w:lineRule="exact"/>
        <w:ind w:firstLine="560"/>
        <w:jc w:val="both"/>
        <w:rPr>
          <w:rFonts w:hint="default" w:ascii="Times New Roman" w:hAnsi="Times New Roman" w:cs="Times New Roman"/>
          <w:color w:val="FF0000"/>
          <w:highlight w:val="none"/>
        </w:rPr>
      </w:pPr>
    </w:p>
    <w:p>
      <w:pPr>
        <w:shd w:val="clear" w:color="auto" w:fill="FFFFFF"/>
        <w:adjustRightInd w:val="0"/>
        <w:snapToGrid w:val="0"/>
        <w:spacing w:line="480" w:lineRule="exact"/>
        <w:ind w:firstLine="560"/>
        <w:jc w:val="both"/>
        <w:rPr>
          <w:rFonts w:hint="default" w:ascii="Times New Roman" w:hAnsi="Times New Roman" w:cs="Times New Roman"/>
          <w:b/>
          <w:bCs/>
          <w:color w:val="FF0000"/>
          <w:highlight w:val="none"/>
        </w:rPr>
      </w:pPr>
      <w:r>
        <w:rPr>
          <w:rFonts w:hint="default" w:ascii="Times New Roman" w:hAnsi="Times New Roman" w:cs="Times New Roman"/>
          <w:b/>
          <w:bCs/>
          <w:color w:val="FF0000"/>
          <w:highlight w:val="none"/>
        </w:rPr>
        <w:t>三、科学研究</w:t>
      </w:r>
    </w:p>
    <w:p>
      <w:pPr>
        <w:adjustRightInd w:val="0"/>
        <w:snapToGrid w:val="0"/>
        <w:spacing w:line="480" w:lineRule="exact"/>
        <w:ind w:firstLine="560"/>
        <w:jc w:val="both"/>
        <w:rPr>
          <w:rFonts w:hint="default" w:ascii="Times New Roman" w:hAnsi="Times New Roman" w:cs="Times New Roman"/>
          <w:color w:val="FF0000"/>
          <w:highlight w:val="none"/>
        </w:rPr>
      </w:pPr>
      <w:r>
        <w:rPr>
          <w:rFonts w:hint="default" w:ascii="Times New Roman" w:hAnsi="Times New Roman" w:cs="Times New Roman"/>
          <w:color w:val="FF0000"/>
          <w:highlight w:val="none"/>
        </w:rPr>
        <w:t>1.论文：以第一作者或者通讯作者发表A类论文  篇，其中A1类一区论文至少  篇（对应第四层次至少4篇）。</w:t>
      </w:r>
    </w:p>
    <w:p>
      <w:pPr>
        <w:adjustRightInd w:val="0"/>
        <w:snapToGrid w:val="0"/>
        <w:spacing w:line="480" w:lineRule="exact"/>
        <w:ind w:firstLine="560"/>
        <w:jc w:val="both"/>
        <w:rPr>
          <w:rFonts w:hint="default" w:ascii="Times New Roman" w:hAnsi="Times New Roman" w:cs="Times New Roman"/>
          <w:color w:val="FF0000"/>
          <w:highlight w:val="none"/>
        </w:rPr>
      </w:pPr>
      <w:r>
        <w:rPr>
          <w:rFonts w:hint="default" w:ascii="Times New Roman" w:hAnsi="Times New Roman" w:cs="Times New Roman"/>
          <w:color w:val="FF0000"/>
          <w:highlight w:val="none"/>
        </w:rPr>
        <w:t>2.项目：获批主持国家级项目1项。</w:t>
      </w:r>
    </w:p>
    <w:p>
      <w:pPr>
        <w:adjustRightInd w:val="0"/>
        <w:snapToGrid w:val="0"/>
        <w:spacing w:line="480" w:lineRule="exact"/>
        <w:ind w:firstLine="560"/>
        <w:jc w:val="both"/>
        <w:rPr>
          <w:rFonts w:hint="default" w:ascii="Times New Roman" w:hAnsi="Times New Roman" w:cs="Times New Roman"/>
          <w:color w:val="FF0000"/>
          <w:highlight w:val="none"/>
        </w:rPr>
      </w:pPr>
      <w:r>
        <w:rPr>
          <w:rFonts w:hint="default" w:ascii="Times New Roman" w:hAnsi="Times New Roman" w:cs="Times New Roman"/>
          <w:color w:val="FF0000"/>
          <w:highlight w:val="none"/>
        </w:rPr>
        <w:t>3.获奖、专利：积极参与符合条件的各类奖项的申请、申报。</w:t>
      </w:r>
    </w:p>
    <w:p>
      <w:pPr>
        <w:adjustRightInd w:val="0"/>
        <w:snapToGrid w:val="0"/>
        <w:spacing w:line="480" w:lineRule="exact"/>
        <w:ind w:firstLine="560"/>
        <w:jc w:val="both"/>
        <w:rPr>
          <w:rFonts w:hint="default" w:ascii="Times New Roman" w:hAnsi="Times New Roman" w:cs="Times New Roman"/>
          <w:color w:val="FF0000"/>
          <w:highlight w:val="none"/>
        </w:rPr>
      </w:pPr>
    </w:p>
    <w:p>
      <w:pPr>
        <w:adjustRightInd w:val="0"/>
        <w:snapToGrid w:val="0"/>
        <w:spacing w:line="480" w:lineRule="exact"/>
        <w:ind w:firstLine="560"/>
        <w:jc w:val="both"/>
        <w:rPr>
          <w:rFonts w:hint="default" w:ascii="Times New Roman" w:hAnsi="Times New Roman" w:cs="Times New Roman"/>
          <w:b/>
          <w:bCs/>
          <w:color w:val="FF0000"/>
          <w:highlight w:val="none"/>
        </w:rPr>
      </w:pPr>
      <w:r>
        <w:rPr>
          <w:rFonts w:hint="default" w:ascii="Times New Roman" w:hAnsi="Times New Roman" w:cs="Times New Roman"/>
          <w:b/>
          <w:bCs/>
          <w:color w:val="FF0000"/>
          <w:highlight w:val="none"/>
          <w:lang w:eastAsia="zh-CN"/>
        </w:rPr>
        <w:t>四</w:t>
      </w:r>
      <w:r>
        <w:rPr>
          <w:rFonts w:hint="default" w:ascii="Times New Roman" w:hAnsi="Times New Roman" w:cs="Times New Roman"/>
          <w:b/>
          <w:bCs/>
          <w:color w:val="FF0000"/>
          <w:highlight w:val="none"/>
        </w:rPr>
        <w:t>、团队建设</w:t>
      </w:r>
    </w:p>
    <w:p>
      <w:pPr>
        <w:adjustRightInd w:val="0"/>
        <w:snapToGrid w:val="0"/>
        <w:spacing w:line="480" w:lineRule="exact"/>
        <w:ind w:firstLine="560"/>
        <w:jc w:val="both"/>
        <w:rPr>
          <w:rFonts w:hint="default" w:ascii="Times New Roman" w:hAnsi="Times New Roman" w:cs="Times New Roman"/>
          <w:color w:val="FF0000"/>
          <w:highlight w:val="none"/>
        </w:rPr>
      </w:pPr>
      <w:r>
        <w:rPr>
          <w:rFonts w:hint="default" w:ascii="Times New Roman" w:hAnsi="Times New Roman" w:cs="Times New Roman"/>
          <w:color w:val="FF0000"/>
          <w:highlight w:val="none"/>
        </w:rPr>
        <w:t>1. 积极参与符合要求的各类人才工程申报。</w:t>
      </w:r>
    </w:p>
    <w:p>
      <w:pPr>
        <w:adjustRightInd w:val="0"/>
        <w:snapToGrid w:val="0"/>
        <w:spacing w:line="480" w:lineRule="exact"/>
        <w:ind w:firstLine="560"/>
        <w:jc w:val="both"/>
        <w:rPr>
          <w:rFonts w:hint="default" w:ascii="Times New Roman" w:hAnsi="Times New Roman" w:cs="Times New Roman"/>
          <w:color w:val="FF0000"/>
          <w:highlight w:val="none"/>
        </w:rPr>
      </w:pPr>
      <w:r>
        <w:rPr>
          <w:rFonts w:hint="default" w:ascii="Times New Roman" w:hAnsi="Times New Roman" w:cs="Times New Roman"/>
          <w:color w:val="FF0000"/>
          <w:highlight w:val="none"/>
        </w:rPr>
        <w:t>2. 积极培养/配合所在单位其他优秀教师申报各类人才工程，成功获批省部级及以上人才工程（含广东省特支计划青年拔尖人才、广东省杰青、珠江学者等）。</w:t>
      </w:r>
    </w:p>
    <w:p>
      <w:pPr>
        <w:shd w:val="clear" w:color="auto" w:fill="FFFFFF"/>
        <w:adjustRightInd w:val="0"/>
        <w:snapToGrid w:val="0"/>
        <w:spacing w:line="480" w:lineRule="exact"/>
        <w:ind w:firstLine="560"/>
        <w:jc w:val="both"/>
        <w:rPr>
          <w:rFonts w:hint="default" w:ascii="Times New Roman" w:hAnsi="Times New Roman" w:cs="Times New Roman"/>
          <w:color w:val="FF0000"/>
          <w:highlight w:val="none"/>
        </w:rPr>
      </w:pPr>
      <w:r>
        <w:rPr>
          <w:rFonts w:hint="default" w:ascii="Times New Roman" w:hAnsi="Times New Roman" w:cs="Times New Roman"/>
          <w:color w:val="FF0000"/>
          <w:highlight w:val="none"/>
        </w:rPr>
        <w:t>3. 其他如培养优秀青年教师等。</w:t>
      </w:r>
    </w:p>
    <w:p>
      <w:pPr>
        <w:shd w:val="clear" w:color="auto" w:fill="FFFFFF"/>
        <w:adjustRightInd w:val="0"/>
        <w:snapToGrid w:val="0"/>
        <w:spacing w:line="480" w:lineRule="exact"/>
        <w:ind w:firstLine="560"/>
        <w:jc w:val="both"/>
        <w:rPr>
          <w:rFonts w:hint="default" w:ascii="Times New Roman" w:hAnsi="Times New Roman" w:cs="Times New Roman"/>
          <w:color w:val="FF0000"/>
          <w:highlight w:val="none"/>
        </w:rPr>
      </w:pPr>
    </w:p>
    <w:p>
      <w:pPr>
        <w:shd w:val="clear" w:color="auto" w:fill="FFFFFF"/>
        <w:adjustRightInd w:val="0"/>
        <w:snapToGrid w:val="0"/>
        <w:spacing w:line="480" w:lineRule="exact"/>
        <w:ind w:firstLine="560"/>
        <w:jc w:val="both"/>
        <w:rPr>
          <w:rFonts w:hint="default" w:ascii="Times New Roman" w:hAnsi="Times New Roman" w:cs="Times New Roman"/>
          <w:b/>
          <w:bCs/>
          <w:color w:val="FF0000"/>
          <w:highlight w:val="none"/>
        </w:rPr>
      </w:pPr>
      <w:r>
        <w:rPr>
          <w:rFonts w:hint="default" w:ascii="Times New Roman" w:hAnsi="Times New Roman" w:cs="Times New Roman"/>
          <w:b/>
          <w:bCs/>
          <w:color w:val="FF0000"/>
          <w:highlight w:val="none"/>
          <w:lang w:eastAsia="zh-CN"/>
        </w:rPr>
        <w:t>五</w:t>
      </w:r>
      <w:r>
        <w:rPr>
          <w:rFonts w:hint="default" w:ascii="Times New Roman" w:hAnsi="Times New Roman" w:cs="Times New Roman"/>
          <w:b/>
          <w:bCs/>
          <w:color w:val="FF0000"/>
          <w:highlight w:val="none"/>
        </w:rPr>
        <w:t>、平台建设</w:t>
      </w:r>
    </w:p>
    <w:p>
      <w:pPr>
        <w:adjustRightInd w:val="0"/>
        <w:snapToGrid w:val="0"/>
        <w:spacing w:line="480" w:lineRule="exact"/>
        <w:ind w:firstLine="560"/>
        <w:jc w:val="both"/>
        <w:rPr>
          <w:rFonts w:hint="default" w:ascii="Times New Roman" w:hAnsi="Times New Roman" w:cs="Times New Roman"/>
          <w:color w:val="FF0000"/>
          <w:highlight w:val="none"/>
        </w:rPr>
      </w:pPr>
      <w:r>
        <w:rPr>
          <w:rFonts w:hint="default" w:ascii="Times New Roman" w:hAnsi="Times New Roman" w:cs="Times New Roman"/>
          <w:color w:val="FF0000"/>
          <w:highlight w:val="none"/>
        </w:rPr>
        <w:t>1.促进所在单位进行各级重点实验室、工程中心、研究基地等平台建设或申报工作</w:t>
      </w:r>
    </w:p>
    <w:p>
      <w:pPr>
        <w:adjustRightInd w:val="0"/>
        <w:snapToGrid w:val="0"/>
        <w:spacing w:line="480" w:lineRule="exact"/>
        <w:ind w:firstLine="560"/>
        <w:jc w:val="both"/>
        <w:rPr>
          <w:rFonts w:hint="default" w:ascii="Times New Roman" w:hAnsi="Times New Roman" w:cs="Times New Roman"/>
          <w:color w:val="FF0000"/>
          <w:highlight w:val="none"/>
        </w:rPr>
      </w:pPr>
      <w:r>
        <w:rPr>
          <w:rFonts w:hint="default" w:ascii="Times New Roman" w:hAnsi="Times New Roman" w:cs="Times New Roman"/>
          <w:color w:val="FF0000"/>
          <w:highlight w:val="none"/>
        </w:rPr>
        <w:t>2.其他</w:t>
      </w:r>
    </w:p>
    <w:p>
      <w:pPr>
        <w:shd w:val="clear" w:color="auto" w:fill="FFFFFF"/>
        <w:adjustRightInd w:val="0"/>
        <w:snapToGrid w:val="0"/>
        <w:spacing w:line="480" w:lineRule="exact"/>
        <w:ind w:firstLine="560"/>
        <w:jc w:val="both"/>
        <w:rPr>
          <w:rFonts w:hint="default" w:ascii="Times New Roman" w:hAnsi="Times New Roman" w:cs="Times New Roman"/>
          <w:color w:val="FF0000"/>
          <w:highlight w:val="none"/>
        </w:rPr>
      </w:pPr>
    </w:p>
    <w:p>
      <w:pPr>
        <w:shd w:val="clear" w:color="auto" w:fill="FFFFFF"/>
        <w:adjustRightInd w:val="0"/>
        <w:snapToGrid w:val="0"/>
        <w:spacing w:line="480" w:lineRule="exact"/>
        <w:ind w:firstLine="560"/>
        <w:jc w:val="both"/>
        <w:rPr>
          <w:rFonts w:hint="default" w:ascii="Times New Roman" w:hAnsi="Times New Roman" w:cs="Times New Roman"/>
          <w:b/>
          <w:bCs/>
          <w:color w:val="FF0000"/>
          <w:highlight w:val="none"/>
        </w:rPr>
      </w:pPr>
      <w:r>
        <w:rPr>
          <w:rFonts w:hint="default" w:ascii="Times New Roman" w:hAnsi="Times New Roman" w:cs="Times New Roman"/>
          <w:b/>
          <w:bCs/>
          <w:color w:val="FF0000"/>
          <w:highlight w:val="none"/>
          <w:lang w:eastAsia="zh-CN"/>
        </w:rPr>
        <w:t>六</w:t>
      </w:r>
      <w:r>
        <w:rPr>
          <w:rFonts w:hint="default" w:ascii="Times New Roman" w:hAnsi="Times New Roman" w:cs="Times New Roman"/>
          <w:b/>
          <w:bCs/>
          <w:color w:val="FF0000"/>
          <w:highlight w:val="none"/>
        </w:rPr>
        <w:t>、公共服务</w:t>
      </w:r>
    </w:p>
    <w:p>
      <w:pPr>
        <w:adjustRightInd w:val="0"/>
        <w:snapToGrid w:val="0"/>
        <w:spacing w:line="480" w:lineRule="exact"/>
        <w:ind w:firstLine="560"/>
        <w:jc w:val="both"/>
        <w:rPr>
          <w:rFonts w:hint="default" w:ascii="Times New Roman" w:hAnsi="Times New Roman" w:cs="Times New Roman"/>
          <w:b/>
          <w:bCs/>
          <w:color w:val="FF0000"/>
          <w:highlight w:val="none"/>
        </w:rPr>
      </w:pPr>
    </w:p>
    <w:p>
      <w:pPr>
        <w:adjustRightInd w:val="0"/>
        <w:snapToGrid w:val="0"/>
        <w:spacing w:line="480" w:lineRule="exact"/>
        <w:ind w:firstLine="560"/>
        <w:jc w:val="both"/>
        <w:rPr>
          <w:rFonts w:hint="default" w:ascii="Times New Roman" w:hAnsi="Times New Roman" w:cs="Times New Roman"/>
          <w:b/>
          <w:bCs/>
          <w:color w:val="FF0000"/>
          <w:highlight w:val="none"/>
        </w:rPr>
      </w:pPr>
    </w:p>
    <w:p>
      <w:pPr>
        <w:adjustRightInd w:val="0"/>
        <w:snapToGrid w:val="0"/>
        <w:spacing w:line="480" w:lineRule="exact"/>
        <w:ind w:firstLine="560"/>
        <w:jc w:val="both"/>
        <w:rPr>
          <w:rFonts w:hint="default" w:ascii="Times New Roman" w:hAnsi="Times New Roman" w:cs="Times New Roman"/>
          <w:b/>
          <w:bCs/>
          <w:color w:val="FF0000"/>
          <w:highlight w:val="none"/>
        </w:rPr>
      </w:pPr>
      <w:r>
        <w:rPr>
          <w:rFonts w:hint="default" w:ascii="Times New Roman" w:hAnsi="Times New Roman" w:cs="Times New Roman"/>
          <w:b/>
          <w:bCs/>
          <w:color w:val="FF0000"/>
          <w:highlight w:val="none"/>
          <w:lang w:eastAsia="zh-CN"/>
        </w:rPr>
        <w:t>七</w:t>
      </w:r>
      <w:r>
        <w:rPr>
          <w:rFonts w:hint="default" w:ascii="Times New Roman" w:hAnsi="Times New Roman" w:cs="Times New Roman"/>
          <w:b/>
          <w:bCs/>
          <w:color w:val="FF0000"/>
          <w:highlight w:val="none"/>
        </w:rPr>
        <w:t>、国际合作交流及其他</w:t>
      </w:r>
    </w:p>
    <w:p>
      <w:pPr>
        <w:shd w:val="clear" w:color="auto" w:fill="FFFFFF"/>
        <w:adjustRightInd w:val="0"/>
        <w:snapToGrid w:val="0"/>
        <w:spacing w:line="480" w:lineRule="exact"/>
        <w:ind w:firstLine="562"/>
        <w:jc w:val="both"/>
        <w:rPr>
          <w:rFonts w:hint="default" w:ascii="Times New Roman" w:hAnsi="Times New Roman" w:eastAsia="黑体" w:cs="Times New Roman"/>
          <w:b/>
          <w:color w:val="FF0000"/>
          <w:highlight w:val="none"/>
        </w:rPr>
      </w:pPr>
    </w:p>
    <w:p>
      <w:pPr>
        <w:shd w:val="clear" w:color="auto" w:fill="FFFFFF"/>
        <w:adjustRightInd w:val="0"/>
        <w:snapToGrid w:val="0"/>
        <w:spacing w:line="480" w:lineRule="exact"/>
        <w:ind w:firstLine="562"/>
        <w:jc w:val="both"/>
        <w:rPr>
          <w:rFonts w:hint="default" w:ascii="Times New Roman" w:hAnsi="Times New Roman" w:eastAsia="黑体" w:cs="Times New Roman"/>
          <w:b/>
          <w:color w:val="FF0000"/>
          <w:highlight w:val="none"/>
        </w:rPr>
      </w:pPr>
    </w:p>
    <w:p>
      <w:pPr>
        <w:shd w:val="clear" w:color="auto" w:fill="FFFFFF"/>
        <w:adjustRightInd w:val="0"/>
        <w:snapToGrid w:val="0"/>
        <w:spacing w:line="480" w:lineRule="exact"/>
        <w:ind w:firstLine="562"/>
        <w:jc w:val="both"/>
        <w:rPr>
          <w:rFonts w:hint="default" w:ascii="Times New Roman" w:hAnsi="Times New Roman" w:eastAsia="黑体" w:cs="Times New Roman"/>
          <w:b/>
          <w:color w:val="000000" w:themeColor="text1"/>
          <w:highlight w:val="none"/>
          <w14:textFill>
            <w14:solidFill>
              <w14:schemeClr w14:val="tx1"/>
            </w14:solidFill>
          </w14:textFill>
        </w:rPr>
      </w:pPr>
      <w:r>
        <w:rPr>
          <w:rFonts w:hint="default" w:ascii="Times New Roman" w:hAnsi="Times New Roman" w:eastAsia="黑体" w:cs="Times New Roman"/>
          <w:b/>
          <w:color w:val="000000" w:themeColor="text1"/>
          <w:highlight w:val="none"/>
          <w14:textFill>
            <w14:solidFill>
              <w14:schemeClr w14:val="tx1"/>
            </w14:solidFill>
          </w14:textFill>
        </w:rPr>
        <w:t>第三条</w:t>
      </w:r>
      <w:r>
        <w:rPr>
          <w:rFonts w:hint="default" w:ascii="Times New Roman" w:hAnsi="Times New Roman" w:eastAsia="黑体" w:cs="Times New Roman"/>
          <w:b/>
          <w:color w:val="000000" w:themeColor="text1"/>
          <w:highlight w:val="none"/>
          <w14:textFill>
            <w14:solidFill>
              <w14:schemeClr w14:val="tx1"/>
            </w14:solidFill>
          </w14:textFill>
        </w:rPr>
        <w:tab/>
      </w:r>
      <w:r>
        <w:rPr>
          <w:rFonts w:hint="default" w:ascii="Times New Roman" w:hAnsi="Times New Roman" w:eastAsia="黑体" w:cs="Times New Roman"/>
          <w:b/>
          <w:color w:val="000000" w:themeColor="text1"/>
          <w:highlight w:val="none"/>
          <w14:textFill>
            <w14:solidFill>
              <w14:schemeClr w14:val="tx1"/>
            </w14:solidFill>
          </w14:textFill>
        </w:rPr>
        <w:t>权利和义务</w:t>
      </w:r>
    </w:p>
    <w:p>
      <w:pPr>
        <w:shd w:val="clear" w:color="auto" w:fill="FFFFFF"/>
        <w:adjustRightInd w:val="0"/>
        <w:snapToGrid w:val="0"/>
        <w:spacing w:line="480" w:lineRule="exact"/>
        <w:ind w:firstLine="560"/>
        <w:jc w:val="both"/>
        <w:rPr>
          <w:rFonts w:hint="default" w:ascii="Times New Roman" w:hAnsi="Times New Roman" w:cs="Times New Roman"/>
          <w:b/>
          <w:bCs/>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一、甲方的权利和义务</w:t>
      </w:r>
    </w:p>
    <w:p>
      <w:pPr>
        <w:shd w:val="clear" w:color="auto" w:fill="FFFFFF"/>
        <w:adjustRightInd w:val="0"/>
        <w:snapToGrid w:val="0"/>
        <w:spacing w:line="480" w:lineRule="exact"/>
        <w:ind w:firstLine="560"/>
        <w:jc w:val="both"/>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1．根据此合同和学校相关规定，对乙方进行管理。</w:t>
      </w:r>
    </w:p>
    <w:p>
      <w:pPr>
        <w:shd w:val="clear" w:color="auto" w:fill="FFFFFF"/>
        <w:adjustRightInd w:val="0"/>
        <w:snapToGrid w:val="0"/>
        <w:spacing w:line="480" w:lineRule="exact"/>
        <w:ind w:firstLine="560"/>
        <w:jc w:val="both"/>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2．依照国家法律、法规及学校的有关规定，对乙方进行考核和奖惩。</w:t>
      </w:r>
    </w:p>
    <w:p>
      <w:pPr>
        <w:shd w:val="clear" w:color="auto" w:fill="FFFFFF"/>
        <w:adjustRightInd w:val="0"/>
        <w:snapToGrid w:val="0"/>
        <w:spacing w:line="480" w:lineRule="exact"/>
        <w:ind w:firstLine="560"/>
        <w:jc w:val="both"/>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3．依法维护乙方应享有的各项权利。</w:t>
      </w:r>
    </w:p>
    <w:p>
      <w:pPr>
        <w:shd w:val="clear" w:color="auto" w:fill="FFFFFF"/>
        <w:adjustRightInd w:val="0"/>
        <w:snapToGrid w:val="0"/>
        <w:spacing w:line="480" w:lineRule="exact"/>
        <w:ind w:firstLine="560"/>
        <w:jc w:val="both"/>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4. 为乙方提供良好的工作和生活条件:</w:t>
      </w:r>
    </w:p>
    <w:p>
      <w:pPr>
        <w:shd w:val="clear" w:color="auto" w:fill="FFFFFF"/>
        <w:adjustRightInd w:val="0"/>
        <w:snapToGrid w:val="0"/>
        <w:spacing w:line="480" w:lineRule="exact"/>
        <w:ind w:firstLine="560"/>
        <w:jc w:val="both"/>
        <w:rPr>
          <w:rFonts w:hint="default" w:ascii="Times New Roman" w:hAnsi="Times New Roman" w:cs="Times New Roman"/>
          <w:color w:val="FF0000"/>
          <w:highlight w:val="none"/>
        </w:rPr>
      </w:pPr>
      <w:r>
        <w:rPr>
          <w:rFonts w:hint="default" w:ascii="Times New Roman" w:hAnsi="Times New Roman" w:cs="Times New Roman"/>
          <w:color w:val="FF0000"/>
          <w:highlight w:val="none"/>
        </w:rPr>
        <w:t>（1）职称：（按同意引进批件填写）。</w:t>
      </w:r>
    </w:p>
    <w:p>
      <w:pPr>
        <w:shd w:val="clear" w:color="auto" w:fill="FFFFFF"/>
        <w:adjustRightInd w:val="0"/>
        <w:snapToGrid w:val="0"/>
        <w:spacing w:line="480" w:lineRule="exact"/>
        <w:ind w:firstLine="560"/>
        <w:jc w:val="both"/>
        <w:rPr>
          <w:rFonts w:hint="default" w:ascii="Times New Roman" w:hAnsi="Times New Roman" w:eastAsia="宋体" w:cs="Times New Roman"/>
          <w:color w:val="FF0000"/>
          <w:highlight w:val="none"/>
        </w:rPr>
      </w:pPr>
      <w:r>
        <w:rPr>
          <w:rFonts w:hint="default" w:ascii="Times New Roman" w:hAnsi="Times New Roman" w:cs="Times New Roman"/>
          <w:color w:val="FF0000"/>
          <w:highlight w:val="none"/>
        </w:rPr>
        <w:t>（2）岗位类别：（按同意引进批件填写）</w:t>
      </w:r>
    </w:p>
    <w:p>
      <w:pPr>
        <w:shd w:val="clear" w:color="auto" w:fill="FFFFFF"/>
        <w:adjustRightInd w:val="0"/>
        <w:snapToGrid w:val="0"/>
        <w:spacing w:line="480" w:lineRule="exact"/>
        <w:ind w:firstLine="560"/>
        <w:jc w:val="both"/>
        <w:rPr>
          <w:rFonts w:hint="default" w:ascii="Times New Roman" w:hAnsi="Times New Roman" w:eastAsia="宋体" w:cs="Times New Roman"/>
          <w:color w:val="FF0000"/>
          <w:highlight w:val="none"/>
        </w:rPr>
      </w:pPr>
      <w:r>
        <w:rPr>
          <w:rFonts w:hint="default" w:ascii="Times New Roman" w:hAnsi="Times New Roman" w:cs="Times New Roman"/>
          <w:color w:val="FF0000"/>
          <w:highlight w:val="none"/>
        </w:rPr>
        <w:t>（3）工资待遇：年薪税前  万元（含引进人才年薪以及青蓝学者岗位津贴5万/年），此外学校将为乙方按规定缴纳社会保险及住房公积金。聘期内按照年薪总额的80%分月发放，三年期满考核合格后，补发余下年薪的20%。乙方不再享受</w:t>
      </w:r>
      <w:r>
        <w:rPr>
          <w:rFonts w:hint="default" w:ascii="Times New Roman" w:hAnsi="Times New Roman" w:eastAsia="宋体" w:cs="Times New Roman"/>
          <w:color w:val="FF0000"/>
          <w:highlight w:val="none"/>
        </w:rPr>
        <w:t>博士后校内科研成果奖励政策及工资待遇调整。</w:t>
      </w:r>
    </w:p>
    <w:p>
      <w:pPr>
        <w:shd w:val="clear" w:color="auto" w:fill="FFFFFF"/>
        <w:adjustRightInd w:val="0"/>
        <w:snapToGrid w:val="0"/>
        <w:spacing w:line="480" w:lineRule="exact"/>
        <w:ind w:firstLine="560"/>
        <w:jc w:val="both"/>
        <w:rPr>
          <w:rFonts w:hint="default" w:ascii="Times New Roman" w:hAnsi="Times New Roman" w:cs="Times New Roman"/>
          <w:color w:val="FF0000"/>
          <w:highlight w:val="none"/>
        </w:rPr>
      </w:pPr>
      <w:r>
        <w:rPr>
          <w:rFonts w:hint="default" w:ascii="Times New Roman" w:hAnsi="Times New Roman" w:cs="Times New Roman"/>
          <w:color w:val="FF0000"/>
          <w:highlight w:val="none"/>
        </w:rPr>
        <w:t>（4）科研配套经费：科研配套经费总额   万元，按照每自然年的年度预算报批后使用，首聘期内原则上可使用不超过总额的70%，三年期满考核合格后，可使用剩余部分科研启动费，仍按照年度预算报批后使用。</w:t>
      </w:r>
    </w:p>
    <w:p>
      <w:pPr>
        <w:shd w:val="clear" w:color="auto" w:fill="FFFFFF"/>
        <w:adjustRightInd w:val="0"/>
        <w:snapToGrid w:val="0"/>
        <w:spacing w:line="480" w:lineRule="exact"/>
        <w:ind w:firstLine="560"/>
        <w:jc w:val="both"/>
        <w:rPr>
          <w:rFonts w:hint="default" w:ascii="Times New Roman" w:hAnsi="Times New Roman" w:eastAsia="宋体" w:cs="Times New Roman"/>
          <w:color w:val="FF0000"/>
          <w:highlight w:val="none"/>
        </w:rPr>
      </w:pPr>
      <w:r>
        <w:rPr>
          <w:rFonts w:hint="default" w:ascii="Times New Roman" w:hAnsi="Times New Roman" w:cs="Times New Roman"/>
          <w:color w:val="FF0000"/>
          <w:highlight w:val="none"/>
        </w:rPr>
        <w:t>（5）购房补贴：购房补贴税前   万元，分6年平均按月发放。新引进人员租房补贴按照学校规定分三年按月发放。乙方不再同时享受博士后住房补贴。</w:t>
      </w:r>
    </w:p>
    <w:p>
      <w:pPr>
        <w:shd w:val="clear" w:color="auto" w:fill="FFFFFF"/>
        <w:adjustRightInd w:val="0"/>
        <w:snapToGrid w:val="0"/>
        <w:spacing w:line="480" w:lineRule="exact"/>
        <w:ind w:firstLine="560"/>
        <w:jc w:val="both"/>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（6）办公与实验室条件：由丙方解决。</w:t>
      </w:r>
    </w:p>
    <w:p>
      <w:pPr>
        <w:shd w:val="clear" w:color="auto" w:fill="FFFFFF"/>
        <w:adjustRightInd w:val="0"/>
        <w:snapToGrid w:val="0"/>
        <w:spacing w:line="480" w:lineRule="exact"/>
        <w:ind w:firstLine="560"/>
        <w:jc w:val="both"/>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5．乙方在聘期内做出重大成就的，甲方积极推荐申报相关奖励。</w:t>
      </w:r>
    </w:p>
    <w:p>
      <w:pPr>
        <w:shd w:val="clear" w:color="auto" w:fill="FFFFFF"/>
        <w:adjustRightInd w:val="0"/>
        <w:snapToGrid w:val="0"/>
        <w:spacing w:line="480" w:lineRule="exact"/>
        <w:ind w:firstLine="560"/>
        <w:jc w:val="both"/>
        <w:rPr>
          <w:rFonts w:hint="default" w:ascii="Times New Roman" w:hAnsi="Times New Roman" w:cs="Times New Roman"/>
          <w:b/>
          <w:bCs/>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二、乙方权利和义务</w:t>
      </w:r>
    </w:p>
    <w:p>
      <w:pPr>
        <w:shd w:val="clear" w:color="auto" w:fill="FFFFFF"/>
        <w:adjustRightInd w:val="0"/>
        <w:snapToGrid w:val="0"/>
        <w:spacing w:line="480" w:lineRule="exact"/>
        <w:ind w:firstLine="562"/>
        <w:jc w:val="both"/>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1．享受甲方为其提供的工作和生活条件。</w:t>
      </w:r>
    </w:p>
    <w:p>
      <w:pPr>
        <w:shd w:val="clear" w:color="auto" w:fill="FFFFFF"/>
        <w:adjustRightInd w:val="0"/>
        <w:snapToGrid w:val="0"/>
        <w:spacing w:line="480" w:lineRule="exact"/>
        <w:ind w:firstLine="562"/>
        <w:jc w:val="both"/>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2．认真遵守《中华人民共和国教师法》等有关法律法规，不得在校内传教或组织学生参加任何宗教活动，不得参加或组织他人参加违反中华人民共和国宗教法律法规的活动。</w:t>
      </w:r>
    </w:p>
    <w:p>
      <w:pPr>
        <w:shd w:val="clear" w:color="auto" w:fill="FFFFFF"/>
        <w:adjustRightInd w:val="0"/>
        <w:snapToGrid w:val="0"/>
        <w:spacing w:line="480" w:lineRule="exact"/>
        <w:ind w:firstLine="562"/>
        <w:jc w:val="both"/>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 xml:space="preserve">3. 聘期内保证全职在岗，遵守甲方的各项规章制度，履行相关岗位的岗位职责。 </w:t>
      </w:r>
    </w:p>
    <w:p>
      <w:pPr>
        <w:shd w:val="clear" w:color="auto" w:fill="FFFFFF"/>
        <w:adjustRightInd w:val="0"/>
        <w:snapToGrid w:val="0"/>
        <w:spacing w:line="480" w:lineRule="exact"/>
        <w:ind w:firstLine="562"/>
        <w:jc w:val="both"/>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4．全面履行岗位职责，完成岗位的工作目标及任务；接受甲方的监督、考核及管理。</w:t>
      </w:r>
    </w:p>
    <w:p>
      <w:pPr>
        <w:shd w:val="clear" w:color="auto" w:fill="FFFFFF"/>
        <w:adjustRightInd w:val="0"/>
        <w:snapToGrid w:val="0"/>
        <w:spacing w:line="480" w:lineRule="exact"/>
        <w:ind w:firstLine="562"/>
        <w:jc w:val="both"/>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5．乙方在聘期内所取得的教学、科研等成果均属职务成果，其发表有关论文、著作或申报有关奖励、专利和科研项目及经费等，均将甲方（暨南大学）作为第一署名单位或者唯一署名单位。</w:t>
      </w:r>
    </w:p>
    <w:p>
      <w:pPr>
        <w:shd w:val="clear" w:color="auto" w:fill="FFFFFF"/>
        <w:adjustRightInd w:val="0"/>
        <w:snapToGrid w:val="0"/>
        <w:spacing w:line="480" w:lineRule="exact"/>
        <w:ind w:firstLine="562"/>
        <w:jc w:val="both"/>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6．乙方保证在甲方工作期间所获得的职务作品和职务发明专利不存在知识产权争议，否则由乙方自行负责并赔偿给甲方造成的任何经济损失。</w:t>
      </w:r>
    </w:p>
    <w:p>
      <w:pPr>
        <w:shd w:val="clear" w:color="auto" w:fill="FFFFFF"/>
        <w:adjustRightInd w:val="0"/>
        <w:snapToGrid w:val="0"/>
        <w:spacing w:line="480" w:lineRule="exact"/>
        <w:ind w:firstLine="562"/>
        <w:jc w:val="both"/>
        <w:rPr>
          <w:rFonts w:hint="default" w:ascii="Times New Roman" w:hAnsi="Times New Roman" w:eastAsia="黑体" w:cs="Times New Roman"/>
          <w:b/>
          <w:color w:val="000000" w:themeColor="text1"/>
          <w:highlight w:val="none"/>
          <w14:textFill>
            <w14:solidFill>
              <w14:schemeClr w14:val="tx1"/>
            </w14:solidFill>
          </w14:textFill>
        </w:rPr>
      </w:pPr>
      <w:r>
        <w:rPr>
          <w:rFonts w:hint="default" w:ascii="Times New Roman" w:hAnsi="Times New Roman" w:eastAsia="黑体" w:cs="Times New Roman"/>
          <w:b/>
          <w:color w:val="000000" w:themeColor="text1"/>
          <w:highlight w:val="none"/>
          <w14:textFill>
            <w14:solidFill>
              <w14:schemeClr w14:val="tx1"/>
            </w14:solidFill>
          </w14:textFill>
        </w:rPr>
        <w:t>第四条</w:t>
      </w:r>
      <w:r>
        <w:rPr>
          <w:rFonts w:hint="default" w:ascii="Times New Roman" w:hAnsi="Times New Roman" w:eastAsia="黑体" w:cs="Times New Roman"/>
          <w:b/>
          <w:color w:val="000000" w:themeColor="text1"/>
          <w:highlight w:val="none"/>
          <w14:textFill>
            <w14:solidFill>
              <w14:schemeClr w14:val="tx1"/>
            </w14:solidFill>
          </w14:textFill>
        </w:rPr>
        <w:tab/>
      </w:r>
      <w:r>
        <w:rPr>
          <w:rFonts w:hint="default" w:ascii="Times New Roman" w:hAnsi="Times New Roman" w:eastAsia="黑体" w:cs="Times New Roman"/>
          <w:b/>
          <w:color w:val="000000" w:themeColor="text1"/>
          <w:highlight w:val="none"/>
          <w14:textFill>
            <w14:solidFill>
              <w14:schemeClr w14:val="tx1"/>
            </w14:solidFill>
          </w14:textFill>
        </w:rPr>
        <w:t>考核与评估</w:t>
      </w:r>
    </w:p>
    <w:p>
      <w:pPr>
        <w:shd w:val="clear" w:color="auto" w:fill="FFFFFF"/>
        <w:adjustRightInd w:val="0"/>
        <w:snapToGrid w:val="0"/>
        <w:spacing w:line="480" w:lineRule="exact"/>
        <w:ind w:firstLine="560"/>
        <w:jc w:val="both"/>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根据《暨南大学新聘教学科研人员管理暂行办法》（暨人〔2015〕118号）、《暨南大学新聘教学科研人员管理暂行办法的补充规定》（暨人〔2019〕54号）</w:t>
      </w:r>
      <w:r>
        <w:rPr>
          <w:rFonts w:hint="eastAsia" w:eastAsia="宋体"/>
          <w:sz w:val="28"/>
          <w:szCs w:val="28"/>
          <w:highlight w:val="none"/>
          <w:lang w:eastAsia="zh-CN"/>
        </w:rPr>
        <w:t>、</w:t>
      </w:r>
      <w:r>
        <w:rPr>
          <w:rFonts w:hint="eastAsia"/>
          <w:sz w:val="28"/>
          <w:szCs w:val="28"/>
          <w:highlight w:val="none"/>
        </w:rPr>
        <w:t>《暨南大学新聘人员首聘期期满考核后相关待遇的补充规定》（暨人〔2019〕90号）</w:t>
      </w:r>
      <w:r>
        <w:rPr>
          <w:rFonts w:hint="default" w:ascii="Times New Roman" w:hAnsi="Times New Roman" w:cs="Times New Roman"/>
          <w:color w:val="000000" w:themeColor="text1"/>
          <w:highlight w:val="none"/>
          <w14:textFill>
            <w14:solidFill>
              <w14:schemeClr w14:val="tx1"/>
            </w14:solidFill>
          </w14:textFill>
        </w:rPr>
        <w:t>之规定进行聘期考核。</w:t>
      </w:r>
    </w:p>
    <w:p>
      <w:pPr>
        <w:adjustRightInd w:val="0"/>
        <w:snapToGrid w:val="0"/>
        <w:spacing w:line="480" w:lineRule="exact"/>
        <w:ind w:firstLine="560"/>
        <w:jc w:val="both"/>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一、聘期考核分为两年期中检查和三年期满考核。期中检查主要是对合同具体执行和进展情况进行跟踪评价。期中检查时，乙方根据甲方要求向学校汇报履行岗位职责情况和工作进展情况。期中检查合格者，继续履行《聘任合同》中的相关约定；期中检查不合格者，学校将要求其以书面形式陈述理由及今后具体改进的工作计划。</w:t>
      </w:r>
    </w:p>
    <w:p>
      <w:pPr>
        <w:adjustRightInd w:val="0"/>
        <w:snapToGrid w:val="0"/>
        <w:spacing w:line="480" w:lineRule="exact"/>
        <w:ind w:firstLine="560"/>
        <w:jc w:val="both"/>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二、三年期满考核由学校负责组织，主要考核引进人才履行《聘任合同》中的工作任务和工作目标的情况，并根据考核情况确定下一阶段聘用形式：</w:t>
      </w:r>
    </w:p>
    <w:p>
      <w:pPr>
        <w:adjustRightInd w:val="0"/>
        <w:snapToGrid w:val="0"/>
        <w:spacing w:line="480" w:lineRule="exact"/>
        <w:ind w:firstLine="560"/>
        <w:jc w:val="both"/>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1.期满考核合格及以上的人员，学校按照合同约定发放目标任务考核绩效（即年薪总额的20%部分），可使用剩余30%的科研经费，科研经费仍按照年度预算报批后使用。同时应按照暨人〔2019〕54号文之规定，转为准聘长聘制人员，不再发放青蓝学者岗位津贴；</w:t>
      </w:r>
    </w:p>
    <w:p>
      <w:pPr>
        <w:adjustRightInd w:val="0"/>
        <w:snapToGrid w:val="0"/>
        <w:spacing w:line="480" w:lineRule="exact"/>
        <w:ind w:firstLine="560"/>
        <w:jc w:val="both"/>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2.</w:t>
      </w:r>
      <w:r>
        <w:rPr>
          <w:rFonts w:hint="default" w:ascii="Times New Roman" w:hAnsi="Times New Roman" w:cs="Times New Roman"/>
          <w:bCs/>
          <w:color w:val="000000" w:themeColor="text1"/>
          <w:highlight w:val="none"/>
          <w14:textFill>
            <w14:solidFill>
              <w14:schemeClr w14:val="tx1"/>
            </w14:solidFill>
          </w14:textFill>
        </w:rPr>
        <w:t>期满考核基本合格者，</w:t>
      </w:r>
      <w:r>
        <w:rPr>
          <w:rFonts w:hint="default" w:ascii="Times New Roman" w:hAnsi="Times New Roman" w:cs="Times New Roman"/>
          <w:color w:val="000000" w:themeColor="text1"/>
          <w:highlight w:val="none"/>
          <w14:textFill>
            <w14:solidFill>
              <w14:schemeClr w14:val="tx1"/>
            </w14:solidFill>
          </w14:textFill>
        </w:rPr>
        <w:t>经学院提出申请、报学校研究批准后，可适当延长聘用期限，但最长不得超过1年。如一年后仍未达到合同目标任务要求，则终止聘用合同；</w:t>
      </w:r>
    </w:p>
    <w:p>
      <w:pPr>
        <w:adjustRightInd w:val="0"/>
        <w:snapToGrid w:val="0"/>
        <w:spacing w:line="480" w:lineRule="exact"/>
        <w:ind w:firstLine="560"/>
        <w:jc w:val="both"/>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3.期满考核不合格者，不再继续聘用，由博士后管理办公室根据博士后出站条件办理出站或延期等手续。</w:t>
      </w:r>
    </w:p>
    <w:p>
      <w:pPr>
        <w:adjustRightInd w:val="0"/>
        <w:snapToGrid w:val="0"/>
        <w:spacing w:line="480" w:lineRule="exact"/>
        <w:ind w:firstLine="560"/>
        <w:jc w:val="both"/>
        <w:rPr>
          <w:rFonts w:hint="default" w:ascii="Times New Roman" w:hAnsi="Times New Roman" w:cs="Times New Roman"/>
          <w:color w:val="000000" w:themeColor="text1"/>
          <w:highlight w:val="none"/>
          <w14:textFill>
            <w14:solidFill>
              <w14:schemeClr w14:val="tx1"/>
            </w14:solidFill>
          </w14:textFill>
        </w:rPr>
      </w:pPr>
    </w:p>
    <w:p>
      <w:pPr>
        <w:shd w:val="clear" w:color="auto" w:fill="FFFFFF"/>
        <w:adjustRightInd w:val="0"/>
        <w:snapToGrid w:val="0"/>
        <w:spacing w:line="480" w:lineRule="exact"/>
        <w:ind w:firstLine="562"/>
        <w:jc w:val="both"/>
        <w:rPr>
          <w:rFonts w:hint="default" w:ascii="Times New Roman" w:hAnsi="Times New Roman" w:eastAsia="黑体" w:cs="Times New Roman"/>
          <w:b/>
          <w:color w:val="000000" w:themeColor="text1"/>
          <w:highlight w:val="none"/>
          <w14:textFill>
            <w14:solidFill>
              <w14:schemeClr w14:val="tx1"/>
            </w14:solidFill>
          </w14:textFill>
        </w:rPr>
      </w:pPr>
      <w:r>
        <w:rPr>
          <w:rFonts w:hint="default" w:ascii="Times New Roman" w:hAnsi="Times New Roman" w:eastAsia="黑体" w:cs="Times New Roman"/>
          <w:b/>
          <w:color w:val="000000" w:themeColor="text1"/>
          <w:highlight w:val="none"/>
          <w14:textFill>
            <w14:solidFill>
              <w14:schemeClr w14:val="tx1"/>
            </w14:solidFill>
          </w14:textFill>
        </w:rPr>
        <w:t>第五条</w:t>
      </w:r>
      <w:r>
        <w:rPr>
          <w:rFonts w:hint="default" w:ascii="Times New Roman" w:hAnsi="Times New Roman" w:eastAsia="黑体" w:cs="Times New Roman"/>
          <w:b/>
          <w:color w:val="000000" w:themeColor="text1"/>
          <w:highlight w:val="none"/>
          <w14:textFill>
            <w14:solidFill>
              <w14:schemeClr w14:val="tx1"/>
            </w14:solidFill>
          </w14:textFill>
        </w:rPr>
        <w:tab/>
      </w:r>
      <w:r>
        <w:rPr>
          <w:rFonts w:hint="default" w:ascii="Times New Roman" w:hAnsi="Times New Roman" w:eastAsia="黑体" w:cs="Times New Roman"/>
          <w:b/>
          <w:color w:val="000000" w:themeColor="text1"/>
          <w:highlight w:val="none"/>
          <w14:textFill>
            <w14:solidFill>
              <w14:schemeClr w14:val="tx1"/>
            </w14:solidFill>
          </w14:textFill>
        </w:rPr>
        <w:t>合同的变更与解除</w:t>
      </w:r>
    </w:p>
    <w:p>
      <w:pPr>
        <w:shd w:val="clear" w:color="auto" w:fill="FFFFFF"/>
        <w:adjustRightInd w:val="0"/>
        <w:snapToGrid w:val="0"/>
        <w:spacing w:line="480" w:lineRule="exact"/>
        <w:ind w:firstLine="560"/>
        <w:jc w:val="both"/>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一、乙方在聘期内如不能履行本协议所规定的职责，考核不合格或有违法违纪行为，甲方有权予以解聘。</w:t>
      </w:r>
    </w:p>
    <w:p>
      <w:pPr>
        <w:shd w:val="clear" w:color="auto" w:fill="FFFFFF"/>
        <w:adjustRightInd w:val="0"/>
        <w:snapToGrid w:val="0"/>
        <w:spacing w:line="480" w:lineRule="exact"/>
        <w:ind w:firstLine="560"/>
        <w:jc w:val="both"/>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二、乙方在聘期内因特殊原因提出辞聘的，需提前三个月向甲方提出申请，经甲方同意，方可辞聘，并依据暨人〔2017〕120号文</w:t>
      </w:r>
      <w:r>
        <w:rPr>
          <w:rFonts w:hint="eastAsia" w:ascii="Times New Roman" w:hAnsi="Times New Roman" w:cs="Times New Roman"/>
          <w:color w:val="000000" w:themeColor="text1"/>
          <w:highlight w:val="none"/>
          <w:lang w:val="en-US" w:eastAsia="zh-CN"/>
          <w14:textFill>
            <w14:solidFill>
              <w14:schemeClr w14:val="tx1"/>
            </w14:solidFill>
          </w14:textFill>
        </w:rPr>
        <w:t>及其补充</w:t>
      </w:r>
      <w:r>
        <w:rPr>
          <w:rFonts w:hint="default" w:ascii="Times New Roman" w:hAnsi="Times New Roman" w:cs="Times New Roman"/>
          <w:color w:val="000000" w:themeColor="text1"/>
          <w:highlight w:val="none"/>
          <w14:textFill>
            <w14:solidFill>
              <w14:schemeClr w14:val="tx1"/>
            </w14:solidFill>
          </w14:textFill>
        </w:rPr>
        <w:t>规定</w:t>
      </w:r>
      <w:r>
        <w:rPr>
          <w:rFonts w:hint="default" w:ascii="Times New Roman" w:hAnsi="Times New Roman" w:cs="Times New Roman"/>
          <w:color w:val="000000" w:themeColor="text1"/>
          <w:highlight w:val="none"/>
          <w14:textFill>
            <w14:solidFill>
              <w14:schemeClr w14:val="tx1"/>
            </w14:solidFill>
          </w14:textFill>
        </w:rPr>
        <w:t>承担相应的违约责任。</w:t>
      </w:r>
    </w:p>
    <w:p>
      <w:pPr>
        <w:shd w:val="clear" w:color="auto" w:fill="FFFFFF"/>
        <w:adjustRightInd w:val="0"/>
        <w:snapToGrid w:val="0"/>
        <w:spacing w:line="480" w:lineRule="exact"/>
        <w:ind w:firstLine="560"/>
        <w:jc w:val="both"/>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三、聘任期间如发生</w:t>
      </w:r>
      <w:r>
        <w:rPr>
          <w:rFonts w:hint="eastAsia" w:ascii="Times New Roman" w:hAnsi="Times New Roman" w:cs="Times New Roman"/>
          <w:color w:val="000000" w:themeColor="text1"/>
          <w:highlight w:val="none"/>
          <w:lang w:eastAsia="zh-CN"/>
          <w14:textFill>
            <w14:solidFill>
              <w14:schemeClr w14:val="tx1"/>
            </w14:solidFill>
          </w14:textFill>
        </w:rPr>
        <w:t>三方</w:t>
      </w:r>
      <w:r>
        <w:rPr>
          <w:rFonts w:hint="default" w:ascii="Times New Roman" w:hAnsi="Times New Roman" w:cs="Times New Roman"/>
          <w:color w:val="000000" w:themeColor="text1"/>
          <w:highlight w:val="none"/>
          <w14:textFill>
            <w14:solidFill>
              <w14:schemeClr w14:val="tx1"/>
            </w14:solidFill>
          </w14:textFill>
        </w:rPr>
        <w:t>无法预见、无法防范，致使合同无法正常履行的事由，需要变更或解除合同的，聘任</w:t>
      </w:r>
      <w:r>
        <w:rPr>
          <w:rFonts w:hint="eastAsia" w:ascii="Times New Roman" w:hAnsi="Times New Roman" w:cs="Times New Roman"/>
          <w:color w:val="000000" w:themeColor="text1"/>
          <w:highlight w:val="none"/>
          <w:lang w:eastAsia="zh-CN"/>
          <w14:textFill>
            <w14:solidFill>
              <w14:schemeClr w14:val="tx1"/>
            </w14:solidFill>
          </w14:textFill>
        </w:rPr>
        <w:t>三方</w:t>
      </w:r>
      <w:r>
        <w:rPr>
          <w:rFonts w:hint="default" w:ascii="Times New Roman" w:hAnsi="Times New Roman" w:cs="Times New Roman"/>
          <w:color w:val="000000" w:themeColor="text1"/>
          <w:highlight w:val="none"/>
          <w14:textFill>
            <w14:solidFill>
              <w14:schemeClr w14:val="tx1"/>
            </w14:solidFill>
          </w14:textFill>
        </w:rPr>
        <w:t>应按照国家有关规定妥善处理。</w:t>
      </w:r>
    </w:p>
    <w:p>
      <w:pPr>
        <w:shd w:val="clear" w:color="auto" w:fill="FFFFFF"/>
        <w:adjustRightInd w:val="0"/>
        <w:snapToGrid w:val="0"/>
        <w:spacing w:line="480" w:lineRule="exact"/>
        <w:ind w:firstLine="560"/>
        <w:jc w:val="both"/>
        <w:rPr>
          <w:rFonts w:hint="default" w:ascii="Times New Roman" w:hAnsi="Times New Roman" w:cs="Times New Roman"/>
          <w:color w:val="000000" w:themeColor="text1"/>
          <w:highlight w:val="none"/>
          <w14:textFill>
            <w14:solidFill>
              <w14:schemeClr w14:val="tx1"/>
            </w14:solidFill>
          </w14:textFill>
        </w:rPr>
      </w:pPr>
    </w:p>
    <w:p>
      <w:pPr>
        <w:shd w:val="clear" w:color="auto" w:fill="FFFFFF"/>
        <w:adjustRightInd w:val="0"/>
        <w:snapToGrid w:val="0"/>
        <w:spacing w:line="480" w:lineRule="exact"/>
        <w:ind w:firstLine="562"/>
        <w:jc w:val="both"/>
        <w:rPr>
          <w:rFonts w:hint="default" w:ascii="Times New Roman" w:hAnsi="Times New Roman" w:eastAsia="黑体" w:cs="Times New Roman"/>
          <w:b/>
          <w:color w:val="000000" w:themeColor="text1"/>
          <w:highlight w:val="none"/>
          <w14:textFill>
            <w14:solidFill>
              <w14:schemeClr w14:val="tx1"/>
            </w14:solidFill>
          </w14:textFill>
        </w:rPr>
      </w:pPr>
      <w:r>
        <w:rPr>
          <w:rFonts w:hint="default" w:ascii="Times New Roman" w:hAnsi="Times New Roman" w:eastAsia="黑体" w:cs="Times New Roman"/>
          <w:b/>
          <w:color w:val="000000" w:themeColor="text1"/>
          <w:highlight w:val="none"/>
          <w14:textFill>
            <w14:solidFill>
              <w14:schemeClr w14:val="tx1"/>
            </w14:solidFill>
          </w14:textFill>
        </w:rPr>
        <w:t>第六条</w:t>
      </w:r>
      <w:r>
        <w:rPr>
          <w:rFonts w:hint="default" w:ascii="Times New Roman" w:hAnsi="Times New Roman" w:eastAsia="黑体" w:cs="Times New Roman"/>
          <w:b/>
          <w:color w:val="000000" w:themeColor="text1"/>
          <w:highlight w:val="none"/>
          <w14:textFill>
            <w14:solidFill>
              <w14:schemeClr w14:val="tx1"/>
            </w14:solidFill>
          </w14:textFill>
        </w:rPr>
        <w:tab/>
      </w:r>
      <w:r>
        <w:rPr>
          <w:rFonts w:hint="default" w:ascii="Times New Roman" w:hAnsi="Times New Roman" w:eastAsia="黑体" w:cs="Times New Roman"/>
          <w:b/>
          <w:color w:val="000000" w:themeColor="text1"/>
          <w:highlight w:val="none"/>
          <w14:textFill>
            <w14:solidFill>
              <w14:schemeClr w14:val="tx1"/>
            </w14:solidFill>
          </w14:textFill>
        </w:rPr>
        <w:t>附则</w:t>
      </w:r>
    </w:p>
    <w:p>
      <w:pPr>
        <w:spacing w:line="480" w:lineRule="exact"/>
        <w:ind w:firstLine="560"/>
        <w:jc w:val="both"/>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一、本协议一式三份，甲乙丙三方各执一份。</w:t>
      </w:r>
    </w:p>
    <w:p>
      <w:pPr>
        <w:shd w:val="clear" w:color="auto" w:fill="FFFFFF"/>
        <w:adjustRightInd w:val="0"/>
        <w:snapToGrid w:val="0"/>
        <w:spacing w:line="480" w:lineRule="exact"/>
        <w:ind w:firstLine="560"/>
        <w:jc w:val="both"/>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二、除发生不可抗力因素致使合同无法履行外，</w:t>
      </w:r>
      <w:r>
        <w:rPr>
          <w:rFonts w:hint="eastAsia" w:ascii="Times New Roman" w:hAnsi="Times New Roman" w:cs="Times New Roman"/>
          <w:color w:val="000000" w:themeColor="text1"/>
          <w:highlight w:val="none"/>
          <w:lang w:eastAsia="zh-CN"/>
          <w14:textFill>
            <w14:solidFill>
              <w14:schemeClr w14:val="tx1"/>
            </w14:solidFill>
          </w14:textFill>
        </w:rPr>
        <w:t>三方</w:t>
      </w:r>
      <w:r>
        <w:rPr>
          <w:rFonts w:hint="default" w:ascii="Times New Roman" w:hAnsi="Times New Roman" w:cs="Times New Roman"/>
          <w:color w:val="000000" w:themeColor="text1"/>
          <w:highlight w:val="none"/>
          <w14:textFill>
            <w14:solidFill>
              <w14:schemeClr w14:val="tx1"/>
            </w14:solidFill>
          </w14:textFill>
        </w:rPr>
        <w:t>应严格履行合同中的各项条款，如发生争议，</w:t>
      </w:r>
      <w:r>
        <w:rPr>
          <w:rFonts w:hint="eastAsia" w:ascii="Times New Roman" w:hAnsi="Times New Roman" w:cs="Times New Roman"/>
          <w:color w:val="000000" w:themeColor="text1"/>
          <w:highlight w:val="none"/>
          <w:lang w:eastAsia="zh-CN"/>
          <w14:textFill>
            <w14:solidFill>
              <w14:schemeClr w14:val="tx1"/>
            </w14:solidFill>
          </w14:textFill>
        </w:rPr>
        <w:t>三方</w:t>
      </w:r>
      <w:r>
        <w:rPr>
          <w:rFonts w:hint="default" w:ascii="Times New Roman" w:hAnsi="Times New Roman" w:cs="Times New Roman"/>
          <w:color w:val="000000" w:themeColor="text1"/>
          <w:highlight w:val="none"/>
          <w14:textFill>
            <w14:solidFill>
              <w14:schemeClr w14:val="tx1"/>
            </w14:solidFill>
          </w14:textFill>
        </w:rPr>
        <w:t>应协商处理，对合同有关条款的变更，应征得对方同意。</w:t>
      </w:r>
    </w:p>
    <w:p>
      <w:pPr>
        <w:shd w:val="clear" w:color="auto" w:fill="FFFFFF"/>
        <w:adjustRightInd w:val="0"/>
        <w:snapToGrid w:val="0"/>
        <w:spacing w:line="480" w:lineRule="exact"/>
        <w:ind w:firstLine="560"/>
        <w:jc w:val="both"/>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三、本合同如有未尽事项，应由</w:t>
      </w:r>
      <w:r>
        <w:rPr>
          <w:rFonts w:hint="eastAsia" w:ascii="Times New Roman" w:hAnsi="Times New Roman" w:cs="Times New Roman"/>
          <w:color w:val="000000" w:themeColor="text1"/>
          <w:highlight w:val="none"/>
          <w:lang w:eastAsia="zh-CN"/>
          <w14:textFill>
            <w14:solidFill>
              <w14:schemeClr w14:val="tx1"/>
            </w14:solidFill>
          </w14:textFill>
        </w:rPr>
        <w:t>三方</w:t>
      </w:r>
      <w:r>
        <w:rPr>
          <w:rFonts w:hint="default" w:ascii="Times New Roman" w:hAnsi="Times New Roman" w:cs="Times New Roman"/>
          <w:color w:val="000000" w:themeColor="text1"/>
          <w:highlight w:val="none"/>
          <w14:textFill>
            <w14:solidFill>
              <w14:schemeClr w14:val="tx1"/>
            </w14:solidFill>
          </w14:textFill>
        </w:rPr>
        <w:t>协商，做出补充规定。补充规定与本合同具有同等效力。</w:t>
      </w:r>
    </w:p>
    <w:p>
      <w:pPr>
        <w:shd w:val="clear" w:color="auto" w:fill="FFFFFF"/>
        <w:adjustRightInd w:val="0"/>
        <w:snapToGrid w:val="0"/>
        <w:spacing w:line="480" w:lineRule="exact"/>
        <w:ind w:firstLine="560"/>
        <w:jc w:val="both"/>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四、暨南大学及所在单位制定的与本岗位工作有关的职责、规章、办法等，视为本合同的组成部分，与本合同具有同等效力。</w:t>
      </w:r>
    </w:p>
    <w:p>
      <w:pPr>
        <w:shd w:val="clear" w:color="auto" w:fill="FFFFFF"/>
        <w:adjustRightInd w:val="0"/>
        <w:snapToGrid w:val="0"/>
        <w:spacing w:line="480" w:lineRule="exact"/>
        <w:ind w:firstLine="560"/>
        <w:jc w:val="both"/>
        <w:rPr>
          <w:rFonts w:hint="default" w:ascii="Times New Roman" w:hAnsi="Times New Roman" w:cs="Times New Roman"/>
          <w:color w:val="000000" w:themeColor="text1"/>
          <w:highlight w:val="none"/>
          <w14:textFill>
            <w14:solidFill>
              <w14:schemeClr w14:val="tx1"/>
            </w14:solidFill>
          </w14:textFill>
        </w:rPr>
      </w:pPr>
    </w:p>
    <w:p>
      <w:pPr>
        <w:shd w:val="clear" w:color="auto" w:fill="FFFFFF"/>
        <w:adjustRightInd w:val="0"/>
        <w:snapToGrid w:val="0"/>
        <w:spacing w:line="480" w:lineRule="exact"/>
        <w:ind w:firstLine="560"/>
        <w:jc w:val="both"/>
        <w:rPr>
          <w:rFonts w:hint="default" w:ascii="Times New Roman" w:hAnsi="Times New Roman" w:cs="Times New Roman"/>
          <w:color w:val="000000" w:themeColor="text1"/>
          <w:highlight w:val="none"/>
          <w14:textFill>
            <w14:solidFill>
              <w14:schemeClr w14:val="tx1"/>
            </w14:solidFill>
          </w14:textFill>
        </w:rPr>
      </w:pPr>
    </w:p>
    <w:p>
      <w:pPr>
        <w:shd w:val="clear" w:color="auto" w:fill="FFFFFF"/>
        <w:adjustRightInd w:val="0"/>
        <w:snapToGrid w:val="0"/>
        <w:spacing w:line="480" w:lineRule="exact"/>
        <w:ind w:firstLine="560"/>
        <w:jc w:val="both"/>
        <w:rPr>
          <w:rFonts w:hint="default" w:ascii="Times New Roman" w:hAnsi="Times New Roman" w:cs="Times New Roman"/>
          <w:color w:val="000000" w:themeColor="text1"/>
          <w:highlight w:val="none"/>
          <w14:textFill>
            <w14:solidFill>
              <w14:schemeClr w14:val="tx1"/>
            </w14:solidFill>
          </w14:textFill>
        </w:rPr>
      </w:pPr>
    </w:p>
    <w:p>
      <w:pPr>
        <w:shd w:val="clear" w:color="auto" w:fill="FFFFFF"/>
        <w:adjustRightInd w:val="0"/>
        <w:snapToGrid w:val="0"/>
        <w:spacing w:line="480" w:lineRule="exact"/>
        <w:ind w:firstLine="560"/>
        <w:jc w:val="both"/>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 xml:space="preserve">甲方（法定代表人或                   乙方（签 章）：           </w:t>
      </w:r>
    </w:p>
    <w:p>
      <w:pPr>
        <w:spacing w:line="480" w:lineRule="exact"/>
        <w:ind w:firstLine="560"/>
        <w:jc w:val="both"/>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委托人代理人公章）：</w:t>
      </w:r>
    </w:p>
    <w:p>
      <w:pPr>
        <w:spacing w:line="480" w:lineRule="exact"/>
        <w:ind w:firstLine="560"/>
        <w:jc w:val="both"/>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 xml:space="preserve">   年    月    日  </w:t>
      </w:r>
    </w:p>
    <w:p>
      <w:pPr>
        <w:spacing w:line="480" w:lineRule="exact"/>
        <w:ind w:firstLine="560"/>
        <w:jc w:val="both"/>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 xml:space="preserve">                                     年   月   日</w:t>
      </w:r>
    </w:p>
    <w:p>
      <w:pPr>
        <w:spacing w:line="480" w:lineRule="exact"/>
        <w:ind w:firstLine="560"/>
        <w:jc w:val="both"/>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丙方（学院、所、中心负责人签字，</w:t>
      </w:r>
    </w:p>
    <w:p>
      <w:pPr>
        <w:spacing w:line="480" w:lineRule="exact"/>
        <w:ind w:firstLine="560"/>
        <w:jc w:val="both"/>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 xml:space="preserve">并加盖公章）：   </w:t>
      </w:r>
    </w:p>
    <w:p>
      <w:pPr>
        <w:spacing w:line="480" w:lineRule="exact"/>
        <w:ind w:firstLine="560"/>
        <w:jc w:val="both"/>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 xml:space="preserve">     年    月    日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0635809"/>
      <w:docPartObj>
        <w:docPartGallery w:val="autotext"/>
      </w:docPartObj>
    </w:sdtPr>
    <w:sdtContent>
      <w:sdt>
        <w:sdtPr>
          <w:id w:val="-1669238322"/>
          <w:docPartObj>
            <w:docPartGallery w:val="autotext"/>
          </w:docPartObj>
        </w:sdtPr>
        <w:sdtContent>
          <w:p>
            <w:pPr>
              <w:pStyle w:val="9"/>
              <w:ind w:firstLine="360"/>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w:t>
            </w:r>
            <w:r>
              <w:rPr>
                <w:b/>
                <w:bCs/>
                <w:sz w:val="24"/>
                <w:szCs w:val="24"/>
              </w:rPr>
              <w:fldChar w:fldCharType="end"/>
            </w:r>
          </w:p>
        </w:sdtContent>
      </w:sdt>
    </w:sdtContent>
  </w:sdt>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23B57"/>
    <w:multiLevelType w:val="multilevel"/>
    <w:tmpl w:val="51223B57"/>
    <w:lvl w:ilvl="0" w:tentative="0">
      <w:start w:val="1"/>
      <w:numFmt w:val="decimal"/>
      <w:pStyle w:val="2"/>
      <w:lvlText w:val="第%1章"/>
      <w:lvlJc w:val="left"/>
      <w:pPr>
        <w:tabs>
          <w:tab w:val="left" w:pos="1080"/>
        </w:tabs>
        <w:ind w:left="432" w:hanging="432"/>
      </w:pPr>
      <w:rPr>
        <w:rFonts w:hint="eastAsia"/>
        <w:b/>
        <w:i w:val="0"/>
        <w:sz w:val="36"/>
      </w:rPr>
    </w:lvl>
    <w:lvl w:ilvl="1" w:tentative="0">
      <w:start w:val="1"/>
      <w:numFmt w:val="decimal"/>
      <w:pStyle w:val="3"/>
      <w:lvlText w:val="%1.%2"/>
      <w:lvlJc w:val="left"/>
      <w:pPr>
        <w:tabs>
          <w:tab w:val="left" w:pos="576"/>
        </w:tabs>
        <w:ind w:left="576" w:hanging="576"/>
      </w:pPr>
      <w:rPr>
        <w:rFonts w:hint="eastAsia" w:eastAsia="仿宋_GB2312"/>
        <w:b/>
        <w:i w:val="0"/>
        <w:sz w:val="30"/>
      </w:rPr>
    </w:lvl>
    <w:lvl w:ilvl="2" w:tentative="0">
      <w:start w:val="1"/>
      <w:numFmt w:val="decimal"/>
      <w:pStyle w:val="4"/>
      <w:lvlText w:val="%1.%2.%3"/>
      <w:lvlJc w:val="left"/>
      <w:pPr>
        <w:tabs>
          <w:tab w:val="left" w:pos="720"/>
        </w:tabs>
        <w:ind w:left="720" w:hanging="720"/>
      </w:pPr>
      <w:rPr>
        <w:rFonts w:hint="eastAsia"/>
        <w:b/>
        <w:i w:val="0"/>
        <w:sz w:val="28"/>
      </w:rPr>
    </w:lvl>
    <w:lvl w:ilvl="3" w:tentative="0">
      <w:start w:val="1"/>
      <w:numFmt w:val="decimal"/>
      <w:pStyle w:val="5"/>
      <w:lvlText w:val="%1.%2.%3.%4"/>
      <w:lvlJc w:val="left"/>
      <w:pPr>
        <w:tabs>
          <w:tab w:val="left" w:pos="864"/>
        </w:tabs>
        <w:ind w:left="864" w:hanging="864"/>
      </w:pPr>
      <w:rPr>
        <w:rFonts w:hint="eastAsia" w:eastAsia="黑体"/>
        <w:b/>
        <w:i w:val="0"/>
        <w:sz w:val="24"/>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C7"/>
    <w:rsid w:val="00000726"/>
    <w:rsid w:val="00007E6A"/>
    <w:rsid w:val="000139F9"/>
    <w:rsid w:val="0001471B"/>
    <w:rsid w:val="000168EC"/>
    <w:rsid w:val="00017076"/>
    <w:rsid w:val="00020563"/>
    <w:rsid w:val="000238C1"/>
    <w:rsid w:val="000252C9"/>
    <w:rsid w:val="000276CD"/>
    <w:rsid w:val="000348FA"/>
    <w:rsid w:val="000363D6"/>
    <w:rsid w:val="000421E6"/>
    <w:rsid w:val="0006312C"/>
    <w:rsid w:val="00075130"/>
    <w:rsid w:val="00075F5E"/>
    <w:rsid w:val="00097118"/>
    <w:rsid w:val="000977BF"/>
    <w:rsid w:val="000A0FE8"/>
    <w:rsid w:val="000A432F"/>
    <w:rsid w:val="000C15EF"/>
    <w:rsid w:val="000C789D"/>
    <w:rsid w:val="000D4858"/>
    <w:rsid w:val="000D4B16"/>
    <w:rsid w:val="000E3CC4"/>
    <w:rsid w:val="000F4671"/>
    <w:rsid w:val="0010202C"/>
    <w:rsid w:val="001077C4"/>
    <w:rsid w:val="00107C20"/>
    <w:rsid w:val="00117B7C"/>
    <w:rsid w:val="001242E5"/>
    <w:rsid w:val="00124F8E"/>
    <w:rsid w:val="001260B5"/>
    <w:rsid w:val="0013368E"/>
    <w:rsid w:val="00146842"/>
    <w:rsid w:val="001516C3"/>
    <w:rsid w:val="00172827"/>
    <w:rsid w:val="001731B0"/>
    <w:rsid w:val="00176A13"/>
    <w:rsid w:val="001823C0"/>
    <w:rsid w:val="001A5648"/>
    <w:rsid w:val="001B2863"/>
    <w:rsid w:val="001B3ADA"/>
    <w:rsid w:val="001C60F5"/>
    <w:rsid w:val="001D022D"/>
    <w:rsid w:val="001D510F"/>
    <w:rsid w:val="001F13DB"/>
    <w:rsid w:val="001F4CE0"/>
    <w:rsid w:val="00206C6A"/>
    <w:rsid w:val="00212325"/>
    <w:rsid w:val="002225B9"/>
    <w:rsid w:val="00235E80"/>
    <w:rsid w:val="00242654"/>
    <w:rsid w:val="00247A78"/>
    <w:rsid w:val="00270A6F"/>
    <w:rsid w:val="0027343C"/>
    <w:rsid w:val="00277C2D"/>
    <w:rsid w:val="00282BA5"/>
    <w:rsid w:val="00294D25"/>
    <w:rsid w:val="002A3B32"/>
    <w:rsid w:val="002B2D63"/>
    <w:rsid w:val="002B450B"/>
    <w:rsid w:val="002B73CD"/>
    <w:rsid w:val="002B78DF"/>
    <w:rsid w:val="002C5131"/>
    <w:rsid w:val="002D12FA"/>
    <w:rsid w:val="002D2C56"/>
    <w:rsid w:val="002D6334"/>
    <w:rsid w:val="002D7041"/>
    <w:rsid w:val="002D71C4"/>
    <w:rsid w:val="00303487"/>
    <w:rsid w:val="003042E4"/>
    <w:rsid w:val="003054B6"/>
    <w:rsid w:val="003056AA"/>
    <w:rsid w:val="00307930"/>
    <w:rsid w:val="00311543"/>
    <w:rsid w:val="00322259"/>
    <w:rsid w:val="003322BC"/>
    <w:rsid w:val="00334ECF"/>
    <w:rsid w:val="00336AC6"/>
    <w:rsid w:val="00336CFE"/>
    <w:rsid w:val="00344E48"/>
    <w:rsid w:val="003454FC"/>
    <w:rsid w:val="0035109E"/>
    <w:rsid w:val="00365F28"/>
    <w:rsid w:val="003728BE"/>
    <w:rsid w:val="003734C5"/>
    <w:rsid w:val="00374CAB"/>
    <w:rsid w:val="003768E6"/>
    <w:rsid w:val="00377D0B"/>
    <w:rsid w:val="003821DD"/>
    <w:rsid w:val="003876BA"/>
    <w:rsid w:val="00391412"/>
    <w:rsid w:val="00394E9A"/>
    <w:rsid w:val="00397153"/>
    <w:rsid w:val="003A2AA1"/>
    <w:rsid w:val="003A3A70"/>
    <w:rsid w:val="003A73E2"/>
    <w:rsid w:val="003B0521"/>
    <w:rsid w:val="003B4894"/>
    <w:rsid w:val="003B4A45"/>
    <w:rsid w:val="003B74D5"/>
    <w:rsid w:val="003B786F"/>
    <w:rsid w:val="003C113B"/>
    <w:rsid w:val="003C685E"/>
    <w:rsid w:val="003F542B"/>
    <w:rsid w:val="003F7E2D"/>
    <w:rsid w:val="0040414A"/>
    <w:rsid w:val="004104BB"/>
    <w:rsid w:val="00414BB0"/>
    <w:rsid w:val="00426342"/>
    <w:rsid w:val="0043669D"/>
    <w:rsid w:val="004436AE"/>
    <w:rsid w:val="00445669"/>
    <w:rsid w:val="00447D75"/>
    <w:rsid w:val="00450D09"/>
    <w:rsid w:val="00467DFD"/>
    <w:rsid w:val="0047063C"/>
    <w:rsid w:val="00483D24"/>
    <w:rsid w:val="004932CA"/>
    <w:rsid w:val="00497CE6"/>
    <w:rsid w:val="004A6048"/>
    <w:rsid w:val="004B13F4"/>
    <w:rsid w:val="004C45B8"/>
    <w:rsid w:val="004D4A51"/>
    <w:rsid w:val="004F26B2"/>
    <w:rsid w:val="004F4B3E"/>
    <w:rsid w:val="0050728A"/>
    <w:rsid w:val="00514C8B"/>
    <w:rsid w:val="0051504C"/>
    <w:rsid w:val="005163FB"/>
    <w:rsid w:val="00520CE9"/>
    <w:rsid w:val="005212E4"/>
    <w:rsid w:val="0053293D"/>
    <w:rsid w:val="00547C0A"/>
    <w:rsid w:val="00553D55"/>
    <w:rsid w:val="00571B10"/>
    <w:rsid w:val="00577B7A"/>
    <w:rsid w:val="00583D55"/>
    <w:rsid w:val="005A2BA0"/>
    <w:rsid w:val="005A56FD"/>
    <w:rsid w:val="005C4EF2"/>
    <w:rsid w:val="005C5C88"/>
    <w:rsid w:val="005C7F19"/>
    <w:rsid w:val="005D6830"/>
    <w:rsid w:val="005F0A25"/>
    <w:rsid w:val="005F0BB6"/>
    <w:rsid w:val="005F1421"/>
    <w:rsid w:val="005F41B9"/>
    <w:rsid w:val="005F72CE"/>
    <w:rsid w:val="006049CC"/>
    <w:rsid w:val="00604D5F"/>
    <w:rsid w:val="00611525"/>
    <w:rsid w:val="00635700"/>
    <w:rsid w:val="00642CFA"/>
    <w:rsid w:val="00643A66"/>
    <w:rsid w:val="006464BC"/>
    <w:rsid w:val="00650765"/>
    <w:rsid w:val="00655450"/>
    <w:rsid w:val="00660887"/>
    <w:rsid w:val="00664F47"/>
    <w:rsid w:val="00670732"/>
    <w:rsid w:val="0067096F"/>
    <w:rsid w:val="006750A4"/>
    <w:rsid w:val="0068101A"/>
    <w:rsid w:val="006811CE"/>
    <w:rsid w:val="00681EB9"/>
    <w:rsid w:val="006831E0"/>
    <w:rsid w:val="006941E3"/>
    <w:rsid w:val="006C1BB9"/>
    <w:rsid w:val="006D3BB6"/>
    <w:rsid w:val="006D4AD1"/>
    <w:rsid w:val="006E0D7E"/>
    <w:rsid w:val="006E1827"/>
    <w:rsid w:val="006E3A4B"/>
    <w:rsid w:val="006E66EE"/>
    <w:rsid w:val="006E7449"/>
    <w:rsid w:val="006F4008"/>
    <w:rsid w:val="006F4ACE"/>
    <w:rsid w:val="006F6558"/>
    <w:rsid w:val="0070346B"/>
    <w:rsid w:val="007048B8"/>
    <w:rsid w:val="00713C62"/>
    <w:rsid w:val="00716B81"/>
    <w:rsid w:val="00716DBD"/>
    <w:rsid w:val="007205B3"/>
    <w:rsid w:val="0072102B"/>
    <w:rsid w:val="00721884"/>
    <w:rsid w:val="00735412"/>
    <w:rsid w:val="0074405D"/>
    <w:rsid w:val="00777EBB"/>
    <w:rsid w:val="00796479"/>
    <w:rsid w:val="007B69A0"/>
    <w:rsid w:val="007B6ACC"/>
    <w:rsid w:val="007C39E0"/>
    <w:rsid w:val="007D24A9"/>
    <w:rsid w:val="007D474A"/>
    <w:rsid w:val="007D4848"/>
    <w:rsid w:val="007D502F"/>
    <w:rsid w:val="007E2277"/>
    <w:rsid w:val="007E2637"/>
    <w:rsid w:val="007F11A3"/>
    <w:rsid w:val="00802BEC"/>
    <w:rsid w:val="00812809"/>
    <w:rsid w:val="00830626"/>
    <w:rsid w:val="00833D73"/>
    <w:rsid w:val="0083700B"/>
    <w:rsid w:val="00853CBE"/>
    <w:rsid w:val="00862E64"/>
    <w:rsid w:val="0087639A"/>
    <w:rsid w:val="008809BD"/>
    <w:rsid w:val="00890DA8"/>
    <w:rsid w:val="008B3C7B"/>
    <w:rsid w:val="008D55D0"/>
    <w:rsid w:val="008F11AF"/>
    <w:rsid w:val="008F5FA0"/>
    <w:rsid w:val="008F653F"/>
    <w:rsid w:val="008F7A39"/>
    <w:rsid w:val="009029BE"/>
    <w:rsid w:val="009049EA"/>
    <w:rsid w:val="00905A62"/>
    <w:rsid w:val="0091154A"/>
    <w:rsid w:val="00911BB1"/>
    <w:rsid w:val="009149B2"/>
    <w:rsid w:val="00924CF7"/>
    <w:rsid w:val="00932E49"/>
    <w:rsid w:val="00933918"/>
    <w:rsid w:val="009426E6"/>
    <w:rsid w:val="0098691B"/>
    <w:rsid w:val="00990EE1"/>
    <w:rsid w:val="00992B36"/>
    <w:rsid w:val="009A4241"/>
    <w:rsid w:val="009B38F1"/>
    <w:rsid w:val="009C08B2"/>
    <w:rsid w:val="009C0AE6"/>
    <w:rsid w:val="009C1EDF"/>
    <w:rsid w:val="009C2F8B"/>
    <w:rsid w:val="009E0D8D"/>
    <w:rsid w:val="009F73A4"/>
    <w:rsid w:val="00A064B8"/>
    <w:rsid w:val="00A13D38"/>
    <w:rsid w:val="00A14C47"/>
    <w:rsid w:val="00A344BA"/>
    <w:rsid w:val="00A4330D"/>
    <w:rsid w:val="00A505DB"/>
    <w:rsid w:val="00A63B9C"/>
    <w:rsid w:val="00A71060"/>
    <w:rsid w:val="00A83618"/>
    <w:rsid w:val="00A84963"/>
    <w:rsid w:val="00A85B0B"/>
    <w:rsid w:val="00AA7065"/>
    <w:rsid w:val="00AD48B1"/>
    <w:rsid w:val="00AF4154"/>
    <w:rsid w:val="00B004C1"/>
    <w:rsid w:val="00B00EE4"/>
    <w:rsid w:val="00B03BA7"/>
    <w:rsid w:val="00B12AD8"/>
    <w:rsid w:val="00B425C3"/>
    <w:rsid w:val="00B47ACE"/>
    <w:rsid w:val="00B613FB"/>
    <w:rsid w:val="00B72A4E"/>
    <w:rsid w:val="00B73CFC"/>
    <w:rsid w:val="00B86819"/>
    <w:rsid w:val="00B92050"/>
    <w:rsid w:val="00B937F3"/>
    <w:rsid w:val="00B93FF5"/>
    <w:rsid w:val="00BA25CF"/>
    <w:rsid w:val="00BA32EC"/>
    <w:rsid w:val="00BA3419"/>
    <w:rsid w:val="00BA3655"/>
    <w:rsid w:val="00BC1245"/>
    <w:rsid w:val="00BD1652"/>
    <w:rsid w:val="00BE39B9"/>
    <w:rsid w:val="00BF0473"/>
    <w:rsid w:val="00BF3863"/>
    <w:rsid w:val="00C00031"/>
    <w:rsid w:val="00C057AA"/>
    <w:rsid w:val="00C06AFC"/>
    <w:rsid w:val="00C132C2"/>
    <w:rsid w:val="00C13578"/>
    <w:rsid w:val="00C171A0"/>
    <w:rsid w:val="00C22333"/>
    <w:rsid w:val="00C30863"/>
    <w:rsid w:val="00C3161D"/>
    <w:rsid w:val="00C317B5"/>
    <w:rsid w:val="00C379EE"/>
    <w:rsid w:val="00C46B15"/>
    <w:rsid w:val="00C47CE8"/>
    <w:rsid w:val="00C5360D"/>
    <w:rsid w:val="00C53672"/>
    <w:rsid w:val="00C5656C"/>
    <w:rsid w:val="00C62C22"/>
    <w:rsid w:val="00C65AA1"/>
    <w:rsid w:val="00C761C9"/>
    <w:rsid w:val="00C87AAB"/>
    <w:rsid w:val="00C87C08"/>
    <w:rsid w:val="00C9404F"/>
    <w:rsid w:val="00C96EA2"/>
    <w:rsid w:val="00CA51F3"/>
    <w:rsid w:val="00CB35B4"/>
    <w:rsid w:val="00CC1E95"/>
    <w:rsid w:val="00CE026D"/>
    <w:rsid w:val="00CE1981"/>
    <w:rsid w:val="00D13471"/>
    <w:rsid w:val="00D2358F"/>
    <w:rsid w:val="00D41253"/>
    <w:rsid w:val="00D4345D"/>
    <w:rsid w:val="00D57D09"/>
    <w:rsid w:val="00D6242D"/>
    <w:rsid w:val="00D67BFD"/>
    <w:rsid w:val="00D73938"/>
    <w:rsid w:val="00D74EE6"/>
    <w:rsid w:val="00D80D54"/>
    <w:rsid w:val="00D837BB"/>
    <w:rsid w:val="00D907FF"/>
    <w:rsid w:val="00DA3D2A"/>
    <w:rsid w:val="00DA7A75"/>
    <w:rsid w:val="00DA7C2E"/>
    <w:rsid w:val="00DC32A2"/>
    <w:rsid w:val="00DC59D3"/>
    <w:rsid w:val="00DD0DFA"/>
    <w:rsid w:val="00DD38A0"/>
    <w:rsid w:val="00DD66BE"/>
    <w:rsid w:val="00DE312E"/>
    <w:rsid w:val="00DE6BDD"/>
    <w:rsid w:val="00DF04C5"/>
    <w:rsid w:val="00DF1116"/>
    <w:rsid w:val="00E058AD"/>
    <w:rsid w:val="00E1032A"/>
    <w:rsid w:val="00E20E2A"/>
    <w:rsid w:val="00E23B39"/>
    <w:rsid w:val="00E243BF"/>
    <w:rsid w:val="00E32934"/>
    <w:rsid w:val="00E37FB8"/>
    <w:rsid w:val="00E41BAC"/>
    <w:rsid w:val="00E55FCB"/>
    <w:rsid w:val="00E57D79"/>
    <w:rsid w:val="00E65E02"/>
    <w:rsid w:val="00E74C7E"/>
    <w:rsid w:val="00E77D83"/>
    <w:rsid w:val="00EA0FE9"/>
    <w:rsid w:val="00EA3779"/>
    <w:rsid w:val="00ED230A"/>
    <w:rsid w:val="00EE108F"/>
    <w:rsid w:val="00EE3A0E"/>
    <w:rsid w:val="00EE4240"/>
    <w:rsid w:val="00EE4952"/>
    <w:rsid w:val="00EF1E6C"/>
    <w:rsid w:val="00EF25B0"/>
    <w:rsid w:val="00F03ED6"/>
    <w:rsid w:val="00F060D0"/>
    <w:rsid w:val="00F270C7"/>
    <w:rsid w:val="00F344C9"/>
    <w:rsid w:val="00F406BB"/>
    <w:rsid w:val="00F51CBA"/>
    <w:rsid w:val="00F55223"/>
    <w:rsid w:val="00F553F0"/>
    <w:rsid w:val="00F744B5"/>
    <w:rsid w:val="00F81123"/>
    <w:rsid w:val="00F84B8E"/>
    <w:rsid w:val="00F86746"/>
    <w:rsid w:val="00F93789"/>
    <w:rsid w:val="00F95F9B"/>
    <w:rsid w:val="00F97641"/>
    <w:rsid w:val="00F9769A"/>
    <w:rsid w:val="00FA38A4"/>
    <w:rsid w:val="00FB17C7"/>
    <w:rsid w:val="00FE7807"/>
    <w:rsid w:val="00FF2EF5"/>
    <w:rsid w:val="15D729B6"/>
    <w:rsid w:val="26116CB4"/>
    <w:rsid w:val="327C35A2"/>
    <w:rsid w:val="360B7436"/>
    <w:rsid w:val="390072D6"/>
    <w:rsid w:val="3FAC0A12"/>
    <w:rsid w:val="480023E1"/>
    <w:rsid w:val="4A9C0F18"/>
    <w:rsid w:val="5F5226B5"/>
    <w:rsid w:val="6D4D60A7"/>
    <w:rsid w:val="715F3FD6"/>
    <w:rsid w:val="76846A89"/>
    <w:rsid w:val="7A106676"/>
    <w:rsid w:val="7DEB4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qFormat="1" w:unhideWhenUsed="0"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firstLine="200" w:firstLineChars="200"/>
    </w:pPr>
    <w:rPr>
      <w:rFonts w:asciiTheme="minorEastAsia" w:hAnsiTheme="minorHAnsi" w:eastAsiaTheme="minorEastAsia" w:cstheme="minorBidi"/>
      <w:kern w:val="2"/>
      <w:sz w:val="28"/>
      <w:szCs w:val="28"/>
      <w:lang w:val="en-US" w:eastAsia="zh-CN" w:bidi="ar-SA"/>
    </w:rPr>
  </w:style>
  <w:style w:type="paragraph" w:styleId="2">
    <w:name w:val="heading 1"/>
    <w:basedOn w:val="1"/>
    <w:next w:val="1"/>
    <w:link w:val="17"/>
    <w:qFormat/>
    <w:uiPriority w:val="0"/>
    <w:pPr>
      <w:keepNext/>
      <w:keepLines/>
      <w:widowControl w:val="0"/>
      <w:numPr>
        <w:ilvl w:val="0"/>
        <w:numId w:val="1"/>
      </w:numPr>
      <w:spacing w:before="340" w:after="330" w:line="578" w:lineRule="auto"/>
      <w:ind w:firstLine="0" w:firstLineChars="0"/>
      <w:jc w:val="both"/>
      <w:outlineLvl w:val="0"/>
    </w:pPr>
    <w:rPr>
      <w:rFonts w:ascii="Times New Roman" w:hAnsi="Times New Roman" w:eastAsia="黑体" w:cs="Times New Roman"/>
      <w:b/>
      <w:bCs/>
      <w:kern w:val="44"/>
      <w:sz w:val="36"/>
      <w:szCs w:val="44"/>
    </w:rPr>
  </w:style>
  <w:style w:type="paragraph" w:styleId="3">
    <w:name w:val="heading 2"/>
    <w:basedOn w:val="1"/>
    <w:next w:val="1"/>
    <w:link w:val="18"/>
    <w:qFormat/>
    <w:uiPriority w:val="0"/>
    <w:pPr>
      <w:keepNext/>
      <w:keepLines/>
      <w:widowControl w:val="0"/>
      <w:numPr>
        <w:ilvl w:val="1"/>
        <w:numId w:val="1"/>
      </w:numPr>
      <w:spacing w:before="260" w:after="260" w:line="416" w:lineRule="auto"/>
      <w:ind w:firstLine="0" w:firstLineChars="0"/>
      <w:jc w:val="both"/>
      <w:outlineLvl w:val="1"/>
    </w:pPr>
    <w:rPr>
      <w:rFonts w:ascii="Arial" w:hAnsi="Arial" w:eastAsia="仿宋_GB2312" w:cs="Times New Roman"/>
      <w:b/>
      <w:bCs/>
      <w:sz w:val="30"/>
      <w:szCs w:val="32"/>
    </w:rPr>
  </w:style>
  <w:style w:type="paragraph" w:styleId="4">
    <w:name w:val="heading 3"/>
    <w:basedOn w:val="1"/>
    <w:next w:val="1"/>
    <w:link w:val="19"/>
    <w:qFormat/>
    <w:uiPriority w:val="0"/>
    <w:pPr>
      <w:keepNext/>
      <w:keepLines/>
      <w:widowControl w:val="0"/>
      <w:numPr>
        <w:ilvl w:val="2"/>
        <w:numId w:val="1"/>
      </w:numPr>
      <w:spacing w:before="260" w:after="260" w:line="416" w:lineRule="auto"/>
      <w:ind w:firstLine="0" w:firstLineChars="0"/>
      <w:jc w:val="both"/>
      <w:outlineLvl w:val="2"/>
    </w:pPr>
    <w:rPr>
      <w:rFonts w:ascii="Times New Roman" w:hAnsi="Times New Roman" w:eastAsia="宋体" w:cs="Times New Roman"/>
      <w:b/>
      <w:bCs/>
      <w:szCs w:val="32"/>
    </w:rPr>
  </w:style>
  <w:style w:type="paragraph" w:styleId="5">
    <w:name w:val="heading 4"/>
    <w:basedOn w:val="1"/>
    <w:next w:val="1"/>
    <w:link w:val="20"/>
    <w:qFormat/>
    <w:uiPriority w:val="0"/>
    <w:pPr>
      <w:keepNext/>
      <w:keepLines/>
      <w:widowControl w:val="0"/>
      <w:numPr>
        <w:ilvl w:val="3"/>
        <w:numId w:val="1"/>
      </w:numPr>
      <w:spacing w:before="280" w:after="290" w:line="376" w:lineRule="auto"/>
      <w:ind w:firstLine="0" w:firstLineChars="0"/>
      <w:jc w:val="both"/>
      <w:outlineLvl w:val="3"/>
    </w:pPr>
    <w:rPr>
      <w:rFonts w:ascii="Arial" w:hAnsi="Arial" w:eastAsia="黑体" w:cs="Times New Roman"/>
      <w:bCs/>
      <w:sz w:val="2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Salutation"/>
    <w:basedOn w:val="1"/>
    <w:next w:val="1"/>
    <w:link w:val="21"/>
    <w:qFormat/>
    <w:uiPriority w:val="0"/>
    <w:pPr>
      <w:widowControl w:val="0"/>
      <w:spacing w:line="240" w:lineRule="auto"/>
      <w:ind w:firstLine="0" w:firstLineChars="0"/>
      <w:jc w:val="both"/>
    </w:pPr>
    <w:rPr>
      <w:rFonts w:ascii="Times New Roman" w:hAnsi="Times New Roman" w:eastAsia="宋体" w:cs="Times New Roman"/>
      <w:sz w:val="21"/>
      <w:szCs w:val="24"/>
    </w:rPr>
  </w:style>
  <w:style w:type="paragraph" w:styleId="7">
    <w:name w:val="Body Text"/>
    <w:basedOn w:val="1"/>
    <w:link w:val="24"/>
    <w:semiHidden/>
    <w:unhideWhenUsed/>
    <w:qFormat/>
    <w:uiPriority w:val="99"/>
    <w:pPr>
      <w:spacing w:after="120"/>
    </w:pPr>
  </w:style>
  <w:style w:type="paragraph" w:styleId="8">
    <w:name w:val="Balloon Text"/>
    <w:basedOn w:val="1"/>
    <w:link w:val="16"/>
    <w:semiHidden/>
    <w:unhideWhenUsed/>
    <w:qFormat/>
    <w:uiPriority w:val="99"/>
    <w:pPr>
      <w:spacing w:line="240" w:lineRule="auto"/>
    </w:pPr>
    <w:rPr>
      <w:sz w:val="18"/>
      <w:szCs w:val="18"/>
    </w:rPr>
  </w:style>
  <w:style w:type="paragraph" w:styleId="9">
    <w:name w:val="footer"/>
    <w:basedOn w:val="1"/>
    <w:link w:val="15"/>
    <w:unhideWhenUsed/>
    <w:qFormat/>
    <w:uiPriority w:val="99"/>
    <w:pPr>
      <w:tabs>
        <w:tab w:val="center" w:pos="4153"/>
        <w:tab w:val="right" w:pos="8306"/>
      </w:tabs>
      <w:snapToGrid w:val="0"/>
      <w:spacing w:line="240" w:lineRule="atLeast"/>
    </w:pPr>
    <w:rPr>
      <w:sz w:val="18"/>
      <w:szCs w:val="18"/>
    </w:rPr>
  </w:style>
  <w:style w:type="paragraph" w:styleId="10">
    <w:name w:val="header"/>
    <w:basedOn w:val="1"/>
    <w:link w:val="14"/>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1">
    <w:name w:val="Body Text 2"/>
    <w:basedOn w:val="1"/>
    <w:link w:val="22"/>
    <w:semiHidden/>
    <w:qFormat/>
    <w:uiPriority w:val="99"/>
    <w:pPr>
      <w:widowControl w:val="0"/>
      <w:snapToGrid w:val="0"/>
      <w:spacing w:line="240" w:lineRule="auto"/>
      <w:ind w:firstLine="564" w:firstLineChars="0"/>
      <w:jc w:val="both"/>
    </w:pPr>
  </w:style>
  <w:style w:type="character" w:customStyle="1" w:styleId="14">
    <w:name w:val="页眉 Char"/>
    <w:basedOn w:val="13"/>
    <w:link w:val="10"/>
    <w:qFormat/>
    <w:uiPriority w:val="99"/>
    <w:rPr>
      <w:sz w:val="18"/>
      <w:szCs w:val="18"/>
    </w:rPr>
  </w:style>
  <w:style w:type="character" w:customStyle="1" w:styleId="15">
    <w:name w:val="页脚 Char"/>
    <w:basedOn w:val="13"/>
    <w:link w:val="9"/>
    <w:qFormat/>
    <w:uiPriority w:val="99"/>
    <w:rPr>
      <w:sz w:val="18"/>
      <w:szCs w:val="18"/>
    </w:rPr>
  </w:style>
  <w:style w:type="character" w:customStyle="1" w:styleId="16">
    <w:name w:val="批注框文本 Char"/>
    <w:basedOn w:val="13"/>
    <w:link w:val="8"/>
    <w:semiHidden/>
    <w:qFormat/>
    <w:uiPriority w:val="99"/>
    <w:rPr>
      <w:kern w:val="2"/>
      <w:sz w:val="18"/>
      <w:szCs w:val="18"/>
    </w:rPr>
  </w:style>
  <w:style w:type="character" w:customStyle="1" w:styleId="17">
    <w:name w:val="标题 1 Char"/>
    <w:basedOn w:val="13"/>
    <w:link w:val="2"/>
    <w:qFormat/>
    <w:uiPriority w:val="0"/>
    <w:rPr>
      <w:rFonts w:ascii="Times New Roman" w:hAnsi="Times New Roman" w:eastAsia="黑体" w:cs="Times New Roman"/>
      <w:b/>
      <w:bCs/>
      <w:kern w:val="44"/>
      <w:sz w:val="36"/>
      <w:szCs w:val="44"/>
    </w:rPr>
  </w:style>
  <w:style w:type="character" w:customStyle="1" w:styleId="18">
    <w:name w:val="标题 2 Char"/>
    <w:basedOn w:val="13"/>
    <w:link w:val="3"/>
    <w:qFormat/>
    <w:uiPriority w:val="0"/>
    <w:rPr>
      <w:rFonts w:ascii="Arial" w:hAnsi="Arial" w:eastAsia="仿宋_GB2312" w:cs="Times New Roman"/>
      <w:b/>
      <w:bCs/>
      <w:kern w:val="2"/>
      <w:sz w:val="30"/>
      <w:szCs w:val="32"/>
    </w:rPr>
  </w:style>
  <w:style w:type="character" w:customStyle="1" w:styleId="19">
    <w:name w:val="标题 3 Char"/>
    <w:basedOn w:val="13"/>
    <w:link w:val="4"/>
    <w:qFormat/>
    <w:uiPriority w:val="0"/>
    <w:rPr>
      <w:rFonts w:ascii="Times New Roman" w:hAnsi="Times New Roman" w:eastAsia="宋体" w:cs="Times New Roman"/>
      <w:b/>
      <w:bCs/>
      <w:kern w:val="2"/>
      <w:sz w:val="28"/>
      <w:szCs w:val="32"/>
    </w:rPr>
  </w:style>
  <w:style w:type="character" w:customStyle="1" w:styleId="20">
    <w:name w:val="标题 4 Char"/>
    <w:basedOn w:val="13"/>
    <w:link w:val="5"/>
    <w:qFormat/>
    <w:uiPriority w:val="0"/>
    <w:rPr>
      <w:rFonts w:ascii="Arial" w:hAnsi="Arial" w:eastAsia="黑体" w:cs="Times New Roman"/>
      <w:bCs/>
      <w:kern w:val="2"/>
      <w:sz w:val="24"/>
      <w:szCs w:val="28"/>
    </w:rPr>
  </w:style>
  <w:style w:type="character" w:customStyle="1" w:styleId="21">
    <w:name w:val="称呼 Char"/>
    <w:basedOn w:val="13"/>
    <w:link w:val="6"/>
    <w:qFormat/>
    <w:uiPriority w:val="0"/>
    <w:rPr>
      <w:rFonts w:ascii="Times New Roman" w:hAnsi="Times New Roman" w:eastAsia="宋体" w:cs="Times New Roman"/>
      <w:kern w:val="2"/>
      <w:sz w:val="21"/>
      <w:szCs w:val="24"/>
    </w:rPr>
  </w:style>
  <w:style w:type="character" w:customStyle="1" w:styleId="22">
    <w:name w:val="正文文本 2 Char"/>
    <w:link w:val="11"/>
    <w:semiHidden/>
    <w:qFormat/>
    <w:uiPriority w:val="99"/>
    <w:rPr>
      <w:kern w:val="2"/>
      <w:sz w:val="28"/>
      <w:szCs w:val="28"/>
    </w:rPr>
  </w:style>
  <w:style w:type="character" w:customStyle="1" w:styleId="23">
    <w:name w:val="正文文本 2 Char1"/>
    <w:basedOn w:val="13"/>
    <w:semiHidden/>
    <w:qFormat/>
    <w:uiPriority w:val="99"/>
    <w:rPr>
      <w:kern w:val="2"/>
      <w:sz w:val="28"/>
      <w:szCs w:val="28"/>
    </w:rPr>
  </w:style>
  <w:style w:type="character" w:customStyle="1" w:styleId="24">
    <w:name w:val="正文文本 Char"/>
    <w:basedOn w:val="13"/>
    <w:link w:val="7"/>
    <w:semiHidden/>
    <w:qFormat/>
    <w:uiPriority w:val="99"/>
    <w:rPr>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2DB076-374F-4E98-A936-F0F0B7CB1994}">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390</Words>
  <Characters>2224</Characters>
  <Lines>18</Lines>
  <Paragraphs>5</Paragraphs>
  <TotalTime>11</TotalTime>
  <ScaleCrop>false</ScaleCrop>
  <LinksUpToDate>false</LinksUpToDate>
  <CharactersWithSpaces>2609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2019-09-12T03:43:00Z</dcterms:created>
  <dc:creator>刘广泉</dc:creator>
  <cp:lastModifiedBy>little angel</cp:lastModifiedBy>
  <dcterms:modified xsi:type="dcterms:W3CDTF">2020-09-08T08:37:51Z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