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hint="eastAsia"/>
          <w:b/>
          <w:sz w:val="32"/>
          <w:szCs w:val="32"/>
        </w:rPr>
      </w:pPr>
    </w:p>
    <w:p>
      <w:pPr>
        <w:spacing w:line="360" w:lineRule="exact"/>
        <w:jc w:val="center"/>
        <w:rPr>
          <w:rFonts w:hint="eastAsia"/>
          <w:b/>
          <w:sz w:val="32"/>
          <w:szCs w:val="32"/>
        </w:rPr>
      </w:pPr>
      <w:r>
        <w:rPr>
          <w:rFonts w:hint="eastAsia"/>
          <w:b/>
          <w:sz w:val="32"/>
          <w:szCs w:val="32"/>
        </w:rPr>
        <w:t>政治学博士后科研流动站简介</w:t>
      </w:r>
    </w:p>
    <w:p>
      <w:pPr>
        <w:spacing w:line="360" w:lineRule="exact"/>
        <w:rPr>
          <w:rFonts w:hint="eastAsia"/>
          <w:sz w:val="24"/>
        </w:rPr>
      </w:pPr>
    </w:p>
    <w:p>
      <w:pPr>
        <w:spacing w:line="360" w:lineRule="auto"/>
        <w:ind w:firstLine="480" w:firstLineChars="200"/>
        <w:rPr>
          <w:rFonts w:hint="eastAsia"/>
          <w:sz w:val="24"/>
        </w:rPr>
      </w:pPr>
      <w:r>
        <w:rPr>
          <w:rFonts w:hint="eastAsia"/>
          <w:sz w:val="24"/>
        </w:rPr>
        <w:t>暨南大学政治学博士后流动站是以政治学一级学科博士学位授权点和硕士学位授权点为基础，以国际关系学、区域国别学和国家安全学为学科依托，以东南亚研究和华侨华人研究为优势特色方向的高层次政治学学科建设平台。本学科点的建设可追溯至1927年成立的南洋文化教育事业部。1958年暨南大学在广州重建后，东南亚研究和华侨华人研究获得长足发展，成为彰显暨大“侨校”特色的两大研究领域。2000年华侨华人研究院入选“教育部人文社会科学重点研究基地”。2011年暨南大学成立国际关系学院/华侨华人研究院。自2015年以来，“华侨华人与国际问题研究”学科组团被纳入广东省高水平大学建设项目。依托学院建有21世纪丝绸之路研究院、四个教育区域国别备案中心、侨乡治理与乡村振兴研究院等研究机构。</w:t>
      </w:r>
    </w:p>
    <w:p>
      <w:pPr>
        <w:spacing w:line="360" w:lineRule="auto"/>
        <w:ind w:firstLine="480" w:firstLineChars="200"/>
        <w:rPr>
          <w:rFonts w:hint="eastAsia"/>
          <w:color w:val="000000"/>
          <w:sz w:val="24"/>
        </w:rPr>
      </w:pPr>
      <w:r>
        <w:rPr>
          <w:rFonts w:hint="eastAsia"/>
          <w:color w:val="000000"/>
          <w:sz w:val="24"/>
        </w:rPr>
        <w:t>暨南大学政治学科特色鲜明，基础雄厚，拥有国际政治、国际事务与国际关系两个本科专业，设有政治学理论、国际关系、国家安全、区域国别研究、华侨华人与国际移民、中国政治以及统一战线学等研究生培养方向，在东南亚区域国别、华侨华人、国家安全与南海问题等领域有较大的影响力，学术水平居于国内学术界前列。学院/研究院</w:t>
      </w:r>
      <w:r>
        <w:rPr>
          <w:rFonts w:hint="eastAsia"/>
          <w:sz w:val="24"/>
        </w:rPr>
        <w:t>还办有CSSCI学术期刊《东南亚研究》和学术集刊《海外华人研究》。华侨华人研究院从2016以来连续入选CTTI来源智库和中国核心智库排行榜。2020年入选“国际关系与外交政策”类智库排行榜Top12，位列全国第五位。</w:t>
      </w:r>
    </w:p>
    <w:p>
      <w:pPr>
        <w:spacing w:line="360" w:lineRule="auto"/>
        <w:ind w:firstLine="480" w:firstLineChars="200"/>
        <w:rPr>
          <w:rFonts w:hint="eastAsia"/>
          <w:sz w:val="24"/>
        </w:rPr>
      </w:pPr>
      <w:r>
        <w:rPr>
          <w:rFonts w:hint="eastAsia"/>
          <w:sz w:val="24"/>
        </w:rPr>
        <w:t>暨南大学政治学博士后流动站是以学院/研究院的核心专业与研究方向为依托，整合学校相关单位与学科力量组建跨学科的优势科研平台，形成了一支结构合理</w:t>
      </w:r>
      <w:r>
        <w:rPr>
          <w:rFonts w:hint="eastAsia"/>
          <w:sz w:val="24"/>
          <w:lang w:eastAsia="zh-CN"/>
        </w:rPr>
        <w:t>、</w:t>
      </w:r>
      <w:r>
        <w:rPr>
          <w:rFonts w:hint="eastAsia"/>
          <w:sz w:val="24"/>
        </w:rPr>
        <w:t>基础扎实、实力雄厚的教学科研团队。截至目前，全院共有教职工</w:t>
      </w:r>
      <w:r>
        <w:rPr>
          <w:rFonts w:hint="eastAsia"/>
          <w:sz w:val="24"/>
          <w:lang w:val="en-US" w:eastAsia="zh-CN"/>
        </w:rPr>
        <w:t>66</w:t>
      </w:r>
      <w:r>
        <w:rPr>
          <w:rFonts w:hint="eastAsia"/>
          <w:color w:val="000000" w:themeColor="text1"/>
          <w:sz w:val="24"/>
          <w14:textFill>
            <w14:solidFill>
              <w14:schemeClr w14:val="tx1"/>
            </w14:solidFill>
          </w14:textFill>
        </w:rPr>
        <w:t xml:space="preserve">人，其中教授 </w:t>
      </w:r>
      <w:r>
        <w:rPr>
          <w:rFonts w:hint="eastAsia"/>
          <w:color w:val="000000" w:themeColor="text1"/>
          <w:sz w:val="24"/>
          <w:lang w:val="en-US" w:eastAsia="zh-CN"/>
          <w14:textFill>
            <w14:solidFill>
              <w14:schemeClr w14:val="tx1"/>
            </w14:solidFill>
          </w14:textFill>
        </w:rPr>
        <w:t>18</w:t>
      </w:r>
      <w:r>
        <w:rPr>
          <w:rFonts w:hint="eastAsia"/>
          <w:color w:val="000000" w:themeColor="text1"/>
          <w:sz w:val="24"/>
          <w14:textFill>
            <w14:solidFill>
              <w14:schemeClr w14:val="tx1"/>
            </w14:solidFill>
          </w14:textFill>
        </w:rPr>
        <w:t>人，副教授</w:t>
      </w:r>
      <w:r>
        <w:rPr>
          <w:rFonts w:hint="eastAsia"/>
          <w:color w:val="000000" w:themeColor="text1"/>
          <w:sz w:val="24"/>
          <w:lang w:val="en-US" w:eastAsia="zh-CN"/>
          <w14:textFill>
            <w14:solidFill>
              <w14:schemeClr w14:val="tx1"/>
            </w14:solidFill>
          </w14:textFill>
        </w:rPr>
        <w:t>15</w:t>
      </w:r>
      <w:r>
        <w:rPr>
          <w:rFonts w:hint="eastAsia"/>
          <w:color w:val="000000" w:themeColor="text1"/>
          <w:sz w:val="24"/>
          <w14:textFill>
            <w14:solidFill>
              <w14:schemeClr w14:val="tx1"/>
            </w14:solidFill>
          </w14:textFill>
        </w:rPr>
        <w:t>人，讲师 5人，博士后5人。还有来自德国、</w:t>
      </w:r>
      <w:r>
        <w:rPr>
          <w:rFonts w:hint="eastAsia"/>
          <w:sz w:val="24"/>
        </w:rPr>
        <w:t>加拿大、马来西亚、美国、日本、新加坡、英国及中国台湾和香港等国家和地区的多名客座教授，体现了暨南大学的政治学科立足粤港澳大湾区、辐射东南亚、面向全球的人才培养格局。</w:t>
      </w:r>
    </w:p>
    <w:p>
      <w:pPr>
        <w:spacing w:line="360" w:lineRule="auto"/>
        <w:ind w:firstLine="480" w:firstLineChars="200"/>
        <w:rPr>
          <w:rFonts w:hint="eastAsia"/>
          <w:sz w:val="24"/>
        </w:rPr>
      </w:pPr>
      <w:r>
        <w:rPr>
          <w:rFonts w:hint="eastAsia"/>
          <w:sz w:val="24"/>
        </w:rPr>
        <w:t>学院/研究院近5年来获得国家和省部级以上科研项目70多项。其中，国家社科基金重大重点项目12项，教育部重大攻关项目和基地重大项目10多项；</w:t>
      </w:r>
      <w:bookmarkStart w:id="0" w:name="_GoBack"/>
      <w:bookmarkEnd w:id="0"/>
      <w:r>
        <w:rPr>
          <w:rFonts w:hint="eastAsia"/>
          <w:sz w:val="24"/>
        </w:rPr>
        <w:t>出版年度研究报告《“一带一路”相关地区与国家侨情观察》《南海地区形势报告》《世界华侨华人文库》《暨南东南亚研究文库》以及《“一带一路”与中国外交》等丛书。</w:t>
      </w:r>
    </w:p>
    <w:p>
      <w:pPr>
        <w:spacing w:line="360" w:lineRule="auto"/>
        <w:ind w:firstLine="560" w:firstLineChars="200"/>
        <w:rPr>
          <w:rFonts w:hint="eastAsia"/>
          <w:sz w:val="28"/>
          <w:szCs w:val="28"/>
        </w:rPr>
      </w:pPr>
      <w:r>
        <w:rPr>
          <w:rFonts w:hint="eastAsia"/>
          <w:sz w:val="28"/>
          <w:szCs w:val="28"/>
        </w:rPr>
        <w:t>欢迎海内外优秀博士进站从事研究工作！</w:t>
      </w:r>
    </w:p>
    <w:p>
      <w:pPr>
        <w:spacing w:line="360" w:lineRule="auto"/>
        <w:ind w:firstLine="480" w:firstLineChars="200"/>
        <w:rPr>
          <w:rFonts w:hint="eastAsia"/>
          <w:sz w:val="24"/>
        </w:rPr>
      </w:pPr>
    </w:p>
    <w:p>
      <w:pPr>
        <w:spacing w:line="360" w:lineRule="exact"/>
        <w:jc w:val="center"/>
        <w:rPr>
          <w:rFonts w:hint="eastAsia"/>
          <w:b/>
          <w:sz w:val="28"/>
          <w:szCs w:val="28"/>
        </w:rPr>
      </w:pPr>
      <w:r>
        <w:rPr>
          <w:rFonts w:hint="eastAsia"/>
          <w:b/>
          <w:sz w:val="28"/>
          <w:szCs w:val="28"/>
        </w:rPr>
        <w:t>政治学博士后科研流动站</w:t>
      </w:r>
    </w:p>
    <w:p>
      <w:pPr>
        <w:spacing w:after="156" w:line="360" w:lineRule="exact"/>
        <w:jc w:val="center"/>
        <w:rPr>
          <w:rFonts w:hint="eastAsia"/>
          <w:b/>
          <w:sz w:val="28"/>
          <w:szCs w:val="28"/>
        </w:rPr>
      </w:pPr>
      <w:r>
        <w:rPr>
          <w:rFonts w:hint="eastAsia"/>
          <w:b/>
          <w:sz w:val="28"/>
          <w:szCs w:val="28"/>
        </w:rPr>
        <w:t>研究方向及主要合作导师</w:t>
      </w:r>
    </w:p>
    <w:tbl>
      <w:tblPr>
        <w:tblStyle w:val="2"/>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84"/>
        <w:gridCol w:w="1701"/>
        <w:gridCol w:w="3306"/>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jc w:val="center"/>
              <w:rPr>
                <w:rFonts w:hint="eastAsia"/>
                <w:sz w:val="24"/>
              </w:rPr>
            </w:pPr>
            <w:r>
              <w:rPr>
                <w:rFonts w:hint="eastAsia"/>
                <w:sz w:val="24"/>
              </w:rPr>
              <w:t>学科</w:t>
            </w:r>
          </w:p>
        </w:tc>
        <w:tc>
          <w:tcPr>
            <w:tcW w:w="1701" w:type="dxa"/>
            <w:vAlign w:val="center"/>
          </w:tcPr>
          <w:p>
            <w:pPr>
              <w:jc w:val="center"/>
              <w:rPr>
                <w:rFonts w:hint="eastAsia"/>
                <w:sz w:val="24"/>
              </w:rPr>
            </w:pPr>
            <w:r>
              <w:rPr>
                <w:rFonts w:hint="eastAsia"/>
                <w:sz w:val="24"/>
              </w:rPr>
              <w:t>专业</w:t>
            </w:r>
          </w:p>
        </w:tc>
        <w:tc>
          <w:tcPr>
            <w:tcW w:w="3306" w:type="dxa"/>
            <w:vAlign w:val="center"/>
          </w:tcPr>
          <w:p>
            <w:pPr>
              <w:jc w:val="center"/>
              <w:rPr>
                <w:rFonts w:hint="eastAsia"/>
                <w:sz w:val="24"/>
              </w:rPr>
            </w:pPr>
            <w:r>
              <w:rPr>
                <w:rFonts w:hint="eastAsia"/>
                <w:sz w:val="24"/>
              </w:rPr>
              <w:t>研究方向</w:t>
            </w:r>
          </w:p>
        </w:tc>
        <w:tc>
          <w:tcPr>
            <w:tcW w:w="2131" w:type="dxa"/>
            <w:vAlign w:val="center"/>
          </w:tcPr>
          <w:p>
            <w:pPr>
              <w:jc w:val="center"/>
              <w:rPr>
                <w:rFonts w:hint="eastAsia"/>
                <w:sz w:val="24"/>
              </w:rPr>
            </w:pPr>
            <w:r>
              <w:rPr>
                <w:rFonts w:hint="eastAsia"/>
                <w:sz w:val="24"/>
              </w:rPr>
              <w:t>主要合作导师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restart"/>
            <w:vAlign w:val="center"/>
          </w:tcPr>
          <w:p>
            <w:pPr>
              <w:jc w:val="center"/>
              <w:rPr>
                <w:rFonts w:hint="eastAsia"/>
                <w:sz w:val="24"/>
              </w:rPr>
            </w:pPr>
            <w:r>
              <w:rPr>
                <w:rFonts w:hint="eastAsia"/>
                <w:sz w:val="24"/>
              </w:rPr>
              <w:t>政治学</w:t>
            </w:r>
          </w:p>
        </w:tc>
        <w:tc>
          <w:tcPr>
            <w:tcW w:w="1701" w:type="dxa"/>
            <w:vMerge w:val="restart"/>
            <w:vAlign w:val="center"/>
          </w:tcPr>
          <w:p>
            <w:pPr>
              <w:rPr>
                <w:rFonts w:hint="eastAsia"/>
                <w:sz w:val="24"/>
              </w:rPr>
            </w:pPr>
            <w:r>
              <w:rPr>
                <w:rFonts w:hint="eastAsia"/>
                <w:sz w:val="24"/>
              </w:rPr>
              <w:t>国际关系</w:t>
            </w:r>
          </w:p>
        </w:tc>
        <w:tc>
          <w:tcPr>
            <w:tcW w:w="3306" w:type="dxa"/>
            <w:vAlign w:val="center"/>
          </w:tcPr>
          <w:p>
            <w:pPr>
              <w:rPr>
                <w:rFonts w:hint="eastAsia"/>
                <w:sz w:val="24"/>
              </w:rPr>
            </w:pPr>
            <w:r>
              <w:rPr>
                <w:rFonts w:hint="eastAsia"/>
                <w:sz w:val="24"/>
              </w:rPr>
              <w:t>亚太政治与国际关系、国家安全学</w:t>
            </w:r>
          </w:p>
        </w:tc>
        <w:tc>
          <w:tcPr>
            <w:tcW w:w="2131" w:type="dxa"/>
            <w:vAlign w:val="center"/>
          </w:tcPr>
          <w:p>
            <w:pPr>
              <w:rPr>
                <w:rFonts w:hint="eastAsia"/>
                <w:sz w:val="24"/>
              </w:rPr>
            </w:pPr>
            <w:r>
              <w:rPr>
                <w:rFonts w:hint="eastAsia"/>
                <w:sz w:val="24"/>
              </w:rPr>
              <w:t>鞠海龙 陈定定 邱丹阳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rPr>
                <w:sz w:val="24"/>
              </w:rPr>
            </w:pPr>
          </w:p>
        </w:tc>
        <w:tc>
          <w:tcPr>
            <w:tcW w:w="1701" w:type="dxa"/>
            <w:vMerge w:val="continue"/>
            <w:vAlign w:val="center"/>
          </w:tcPr>
          <w:p>
            <w:pPr>
              <w:rPr>
                <w:sz w:val="24"/>
              </w:rPr>
            </w:pPr>
          </w:p>
        </w:tc>
        <w:tc>
          <w:tcPr>
            <w:tcW w:w="3306" w:type="dxa"/>
            <w:vAlign w:val="center"/>
          </w:tcPr>
          <w:p>
            <w:pPr>
              <w:rPr>
                <w:rFonts w:hint="eastAsia"/>
                <w:sz w:val="24"/>
              </w:rPr>
            </w:pPr>
            <w:r>
              <w:rPr>
                <w:rFonts w:hint="eastAsia"/>
                <w:sz w:val="24"/>
              </w:rPr>
              <w:t>跨国移民与全球治理、比较区域治理</w:t>
            </w:r>
          </w:p>
        </w:tc>
        <w:tc>
          <w:tcPr>
            <w:tcW w:w="2131" w:type="dxa"/>
            <w:vAlign w:val="center"/>
          </w:tcPr>
          <w:p>
            <w:pPr>
              <w:rPr>
                <w:rFonts w:hint="eastAsia"/>
                <w:sz w:val="24"/>
              </w:rPr>
            </w:pPr>
            <w:r>
              <w:rPr>
                <w:rFonts w:hint="eastAsia"/>
                <w:sz w:val="24"/>
              </w:rPr>
              <w:t>张振江 张云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rPr>
                <w:sz w:val="24"/>
              </w:rPr>
            </w:pPr>
          </w:p>
        </w:tc>
        <w:tc>
          <w:tcPr>
            <w:tcW w:w="1701" w:type="dxa"/>
            <w:vMerge w:val="restart"/>
            <w:vAlign w:val="center"/>
          </w:tcPr>
          <w:p>
            <w:pPr>
              <w:rPr>
                <w:rFonts w:hint="eastAsia"/>
                <w:sz w:val="24"/>
              </w:rPr>
            </w:pPr>
            <w:r>
              <w:rPr>
                <w:rFonts w:hint="eastAsia"/>
                <w:sz w:val="24"/>
              </w:rPr>
              <w:t>比较政治</w:t>
            </w:r>
          </w:p>
        </w:tc>
        <w:tc>
          <w:tcPr>
            <w:tcW w:w="3306" w:type="dxa"/>
            <w:vAlign w:val="center"/>
          </w:tcPr>
          <w:p>
            <w:pPr>
              <w:rPr>
                <w:rFonts w:hint="eastAsia"/>
                <w:sz w:val="24"/>
              </w:rPr>
            </w:pPr>
            <w:r>
              <w:rPr>
                <w:rFonts w:hint="eastAsia"/>
                <w:sz w:val="24"/>
              </w:rPr>
              <w:t>东南亚研究、区域国别研究</w:t>
            </w:r>
          </w:p>
        </w:tc>
        <w:tc>
          <w:tcPr>
            <w:tcW w:w="2131" w:type="dxa"/>
            <w:vAlign w:val="center"/>
          </w:tcPr>
          <w:p>
            <w:pPr>
              <w:rPr>
                <w:rFonts w:hint="eastAsia" w:eastAsia="宋体"/>
                <w:sz w:val="24"/>
                <w:lang w:val="en-US" w:eastAsia="zh-CN"/>
              </w:rPr>
            </w:pPr>
            <w:r>
              <w:rPr>
                <w:rFonts w:hint="eastAsia"/>
                <w:sz w:val="24"/>
                <w:lang w:eastAsia="zh-CN"/>
              </w:rPr>
              <w:t>张小欣</w:t>
            </w:r>
            <w:r>
              <w:rPr>
                <w:rFonts w:hint="eastAsia"/>
                <w:sz w:val="24"/>
                <w:lang w:val="en-US" w:eastAsia="zh-CN"/>
              </w:rPr>
              <w:t xml:space="preserve"> </w:t>
            </w:r>
            <w:r>
              <w:rPr>
                <w:rFonts w:hint="eastAsia"/>
                <w:sz w:val="24"/>
              </w:rPr>
              <w:t xml:space="preserve">张振江 陈  文 </w:t>
            </w:r>
            <w:r>
              <w:rPr>
                <w:rFonts w:hint="eastAsia"/>
                <w:sz w:val="24"/>
                <w:lang w:val="en-US" w:eastAsia="zh-CN"/>
              </w:rPr>
              <w:t xml:space="preserve">  </w:t>
            </w:r>
            <w:r>
              <w:rPr>
                <w:rFonts w:hint="eastAsia"/>
                <w:sz w:val="24"/>
              </w:rPr>
              <w:t>石沧金</w:t>
            </w:r>
            <w:r>
              <w:rPr>
                <w:rFonts w:hint="eastAsia"/>
                <w:sz w:val="24"/>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rPr>
                <w:sz w:val="24"/>
              </w:rPr>
            </w:pPr>
          </w:p>
        </w:tc>
        <w:tc>
          <w:tcPr>
            <w:tcW w:w="1701" w:type="dxa"/>
            <w:vMerge w:val="continue"/>
            <w:vAlign w:val="center"/>
          </w:tcPr>
          <w:p>
            <w:pPr>
              <w:rPr>
                <w:sz w:val="24"/>
              </w:rPr>
            </w:pPr>
          </w:p>
        </w:tc>
        <w:tc>
          <w:tcPr>
            <w:tcW w:w="3306" w:type="dxa"/>
            <w:vAlign w:val="center"/>
          </w:tcPr>
          <w:p>
            <w:pPr>
              <w:rPr>
                <w:rFonts w:hint="eastAsia"/>
                <w:sz w:val="24"/>
              </w:rPr>
            </w:pPr>
            <w:r>
              <w:rPr>
                <w:rFonts w:hint="eastAsia"/>
                <w:sz w:val="24"/>
              </w:rPr>
              <w:t>华侨华人研究、统一战线学</w:t>
            </w:r>
          </w:p>
        </w:tc>
        <w:tc>
          <w:tcPr>
            <w:tcW w:w="2131" w:type="dxa"/>
            <w:vAlign w:val="center"/>
          </w:tcPr>
          <w:p>
            <w:pPr>
              <w:rPr>
                <w:rFonts w:hint="eastAsia"/>
                <w:sz w:val="24"/>
              </w:rPr>
            </w:pPr>
            <w:r>
              <w:rPr>
                <w:rFonts w:hint="eastAsia"/>
                <w:sz w:val="24"/>
                <w:lang w:eastAsia="zh-CN"/>
              </w:rPr>
              <w:t>张小欣</w:t>
            </w:r>
            <w:r>
              <w:rPr>
                <w:rFonts w:hint="eastAsia"/>
                <w:sz w:val="24"/>
                <w:lang w:val="en-US" w:eastAsia="zh-CN"/>
              </w:rPr>
              <w:t xml:space="preserve"> </w:t>
            </w:r>
            <w:r>
              <w:rPr>
                <w:rFonts w:hint="eastAsia"/>
                <w:sz w:val="24"/>
              </w:rPr>
              <w:t xml:space="preserve">陈奕平 潮龙起 </w:t>
            </w:r>
            <w:r>
              <w:rPr>
                <w:rFonts w:hint="eastAsia"/>
                <w:sz w:val="24"/>
                <w:lang w:val="en-US" w:eastAsia="zh-CN"/>
              </w:rPr>
              <w:t xml:space="preserve">  </w:t>
            </w:r>
            <w:r>
              <w:rPr>
                <w:rFonts w:hint="eastAsia"/>
                <w:sz w:val="24"/>
              </w:rPr>
              <w:t>文</w:t>
            </w:r>
            <w:r>
              <w:rPr>
                <w:rFonts w:hint="eastAsia"/>
                <w:sz w:val="24"/>
                <w:lang w:val="en-US" w:eastAsia="zh-CN"/>
              </w:rPr>
              <w:t xml:space="preserve">  </w:t>
            </w:r>
            <w:r>
              <w:rPr>
                <w:rFonts w:hint="eastAsia"/>
                <w:sz w:val="24"/>
              </w:rPr>
              <w:t xml:space="preserve">峰 </w:t>
            </w:r>
          </w:p>
          <w:p>
            <w:pPr>
              <w:rPr>
                <w:rFonts w:hint="eastAsia"/>
                <w:sz w:val="24"/>
              </w:rPr>
            </w:pPr>
            <w:r>
              <w:rPr>
                <w:rFonts w:hint="eastAsia"/>
                <w:sz w:val="24"/>
              </w:rPr>
              <w:t>石沧金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rPr>
                <w:sz w:val="24"/>
              </w:rPr>
            </w:pPr>
          </w:p>
        </w:tc>
        <w:tc>
          <w:tcPr>
            <w:tcW w:w="1701" w:type="dxa"/>
            <w:vMerge w:val="restart"/>
            <w:vAlign w:val="center"/>
          </w:tcPr>
          <w:p>
            <w:pPr>
              <w:rPr>
                <w:rFonts w:hint="eastAsia"/>
                <w:sz w:val="24"/>
              </w:rPr>
            </w:pPr>
            <w:r>
              <w:rPr>
                <w:rFonts w:hint="eastAsia"/>
                <w:sz w:val="24"/>
              </w:rPr>
              <w:t>中国政治</w:t>
            </w:r>
          </w:p>
        </w:tc>
        <w:tc>
          <w:tcPr>
            <w:tcW w:w="3306" w:type="dxa"/>
            <w:vAlign w:val="center"/>
          </w:tcPr>
          <w:p>
            <w:pPr>
              <w:rPr>
                <w:rFonts w:hint="eastAsia"/>
                <w:sz w:val="24"/>
              </w:rPr>
            </w:pPr>
            <w:r>
              <w:rPr>
                <w:rFonts w:hint="eastAsia"/>
                <w:sz w:val="24"/>
              </w:rPr>
              <w:t>当代中国外交与侨务</w:t>
            </w:r>
          </w:p>
        </w:tc>
        <w:tc>
          <w:tcPr>
            <w:tcW w:w="2131" w:type="dxa"/>
            <w:vAlign w:val="center"/>
          </w:tcPr>
          <w:p>
            <w:pPr>
              <w:rPr>
                <w:rFonts w:hint="eastAsia"/>
                <w:sz w:val="24"/>
              </w:rPr>
            </w:pPr>
            <w:r>
              <w:rPr>
                <w:rFonts w:hint="eastAsia"/>
                <w:sz w:val="24"/>
              </w:rPr>
              <w:t xml:space="preserve">潮龙起 吴金平 陈奕平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1384" w:type="dxa"/>
            <w:vMerge w:val="continue"/>
            <w:vAlign w:val="center"/>
          </w:tcPr>
          <w:p>
            <w:pPr>
              <w:rPr>
                <w:sz w:val="24"/>
              </w:rPr>
            </w:pPr>
          </w:p>
        </w:tc>
        <w:tc>
          <w:tcPr>
            <w:tcW w:w="1701" w:type="dxa"/>
            <w:vMerge w:val="continue"/>
            <w:vAlign w:val="center"/>
          </w:tcPr>
          <w:p>
            <w:pPr>
              <w:rPr>
                <w:sz w:val="24"/>
              </w:rPr>
            </w:pPr>
          </w:p>
        </w:tc>
        <w:tc>
          <w:tcPr>
            <w:tcW w:w="3306" w:type="dxa"/>
            <w:vAlign w:val="center"/>
          </w:tcPr>
          <w:p>
            <w:pPr>
              <w:rPr>
                <w:rFonts w:hint="eastAsia"/>
                <w:sz w:val="24"/>
              </w:rPr>
            </w:pPr>
            <w:r>
              <w:rPr>
                <w:rFonts w:hint="eastAsia"/>
                <w:sz w:val="24"/>
              </w:rPr>
              <w:t>中国政治制度、基层治理与乡村振兴</w:t>
            </w:r>
          </w:p>
        </w:tc>
        <w:tc>
          <w:tcPr>
            <w:tcW w:w="2131" w:type="dxa"/>
            <w:vAlign w:val="center"/>
          </w:tcPr>
          <w:p>
            <w:pPr>
              <w:rPr>
                <w:rFonts w:hint="eastAsia"/>
                <w:sz w:val="24"/>
              </w:rPr>
            </w:pPr>
            <w:r>
              <w:rPr>
                <w:rFonts w:hint="eastAsia"/>
                <w:sz w:val="24"/>
              </w:rPr>
              <w:t>陈定定 刘义强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1384" w:type="dxa"/>
            <w:vMerge w:val="continue"/>
            <w:vAlign w:val="center"/>
          </w:tcPr>
          <w:p>
            <w:pPr>
              <w:rPr>
                <w:sz w:val="24"/>
              </w:rPr>
            </w:pPr>
          </w:p>
        </w:tc>
        <w:tc>
          <w:tcPr>
            <w:tcW w:w="1701" w:type="dxa"/>
            <w:vAlign w:val="center"/>
          </w:tcPr>
          <w:p>
            <w:pPr>
              <w:rPr>
                <w:rFonts w:hint="eastAsia"/>
                <w:sz w:val="24"/>
              </w:rPr>
            </w:pPr>
            <w:r>
              <w:rPr>
                <w:rFonts w:hint="eastAsia"/>
                <w:sz w:val="24"/>
              </w:rPr>
              <w:t>政治学理论</w:t>
            </w:r>
          </w:p>
        </w:tc>
        <w:tc>
          <w:tcPr>
            <w:tcW w:w="3306" w:type="dxa"/>
            <w:vAlign w:val="center"/>
          </w:tcPr>
          <w:p>
            <w:pPr>
              <w:rPr>
                <w:rFonts w:hint="eastAsia"/>
                <w:sz w:val="24"/>
              </w:rPr>
            </w:pPr>
            <w:r>
              <w:rPr>
                <w:rFonts w:hint="eastAsia"/>
                <w:sz w:val="24"/>
              </w:rPr>
              <w:t>海洋与地缘战略、政治发展与政治学理论</w:t>
            </w:r>
          </w:p>
        </w:tc>
        <w:tc>
          <w:tcPr>
            <w:tcW w:w="2131" w:type="dxa"/>
            <w:vAlign w:val="center"/>
          </w:tcPr>
          <w:p>
            <w:pPr>
              <w:rPr>
                <w:rFonts w:hint="eastAsia"/>
                <w:sz w:val="24"/>
              </w:rPr>
            </w:pPr>
            <w:r>
              <w:rPr>
                <w:rFonts w:hint="eastAsia"/>
                <w:sz w:val="24"/>
              </w:rPr>
              <w:t>鞠海龙 王子昌 刘义强</w:t>
            </w:r>
          </w:p>
        </w:tc>
      </w:tr>
    </w:tbl>
    <w:p>
      <w:pPr>
        <w:rPr>
          <w:sz w:val="28"/>
          <w:szCs w:val="28"/>
        </w:rPr>
      </w:pPr>
    </w:p>
    <w:p>
      <w:pPr>
        <w:spacing w:line="360" w:lineRule="auto"/>
        <w:rPr>
          <w:rFonts w:hint="eastAsia"/>
          <w:sz w:val="24"/>
        </w:rPr>
      </w:pPr>
      <w:r>
        <w:rPr>
          <w:rFonts w:hint="eastAsia"/>
          <w:sz w:val="24"/>
        </w:rPr>
        <w:t>联系人：蔡老师</w:t>
      </w:r>
    </w:p>
    <w:p>
      <w:pPr>
        <w:spacing w:line="360" w:lineRule="auto"/>
        <w:rPr>
          <w:rFonts w:hint="eastAsia"/>
          <w:sz w:val="24"/>
        </w:rPr>
      </w:pPr>
      <w:r>
        <w:rPr>
          <w:rFonts w:hint="eastAsia"/>
          <w:sz w:val="24"/>
        </w:rPr>
        <w:t>电  话：86-20-85220514</w:t>
      </w:r>
    </w:p>
    <w:p>
      <w:pPr>
        <w:spacing w:line="360" w:lineRule="auto"/>
        <w:rPr>
          <w:rFonts w:hint="eastAsia"/>
          <w:sz w:val="24"/>
        </w:rPr>
      </w:pPr>
      <w:r>
        <w:rPr>
          <w:rFonts w:hint="eastAsia"/>
          <w:sz w:val="24"/>
        </w:rPr>
        <w:t>邮  箱：</w:t>
      </w:r>
      <w:r>
        <w:fldChar w:fldCharType="begin"/>
      </w:r>
      <w:r>
        <w:instrText xml:space="preserve">HYPERLINK "mailto:plcai2016@jnu.edu.cn"</w:instrText>
      </w:r>
      <w:r>
        <w:fldChar w:fldCharType="separate"/>
      </w:r>
      <w:r>
        <w:rPr>
          <w:rStyle w:val="12"/>
          <w:rFonts w:hint="eastAsia"/>
          <w:sz w:val="24"/>
        </w:rPr>
        <w:t>plcai2016@jnu.edu.cn</w:t>
      </w:r>
      <w:r>
        <w:fldChar w:fldCharType="end"/>
      </w:r>
    </w:p>
    <w:p>
      <w:pPr>
        <w:spacing w:line="360" w:lineRule="auto"/>
        <w:rPr>
          <w:rFonts w:hint="eastAsia"/>
          <w:sz w:val="24"/>
        </w:rPr>
      </w:pPr>
      <w:r>
        <w:rPr>
          <w:rFonts w:hint="eastAsia"/>
          <w:sz w:val="24"/>
        </w:rPr>
        <w:t>单  位：暨南大学国际关系学院/华侨华人研究院</w:t>
      </w:r>
    </w:p>
    <w:p>
      <w:pPr>
        <w:spacing w:line="360" w:lineRule="auto"/>
        <w:rPr>
          <w:rFonts w:hint="eastAsia"/>
          <w:sz w:val="24"/>
        </w:rPr>
      </w:pPr>
      <w:r>
        <w:rPr>
          <w:rFonts w:hint="eastAsia"/>
          <w:sz w:val="24"/>
        </w:rPr>
        <w:t>地  址：广州暨南大学第二文科楼617</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isplayHorizontalDrawingGridEvery w:val="0"/>
  <w:displayVerticalDrawingGridEvery w:val="2"/>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mYjlkNDE0MWNhMjBlOWYzM2UyZWRmNzhjNzM3NzcifQ=="/>
  </w:docVars>
  <w:rsids>
    <w:rsidRoot w:val="00000000"/>
    <w:rsid w:val="08204893"/>
    <w:rsid w:val="0B093D05"/>
    <w:rsid w:val="149F2FE4"/>
    <w:rsid w:val="18CF4961"/>
    <w:rsid w:val="19593CDE"/>
    <w:rsid w:val="22AA14D2"/>
    <w:rsid w:val="2FF87D20"/>
    <w:rsid w:val="386A6A3D"/>
    <w:rsid w:val="49E44725"/>
    <w:rsid w:val="55784EC1"/>
    <w:rsid w:val="58FF53CC"/>
    <w:rsid w:val="5B9763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默认段落字体1"/>
    <w:link w:val="1"/>
    <w:autoRedefine/>
    <w:qFormat/>
    <w:uiPriority w:val="0"/>
  </w:style>
  <w:style w:type="table" w:customStyle="1" w:styleId="5">
    <w:name w:val="普通表格1"/>
    <w:autoRedefine/>
    <w:qFormat/>
    <w:uiPriority w:val="0"/>
  </w:style>
  <w:style w:type="paragraph" w:customStyle="1" w:styleId="6">
    <w:name w:val="批注文字1"/>
    <w:basedOn w:val="1"/>
    <w:autoRedefine/>
    <w:qFormat/>
    <w:uiPriority w:val="0"/>
    <w:pPr>
      <w:jc w:val="left"/>
    </w:pPr>
  </w:style>
  <w:style w:type="paragraph" w:customStyle="1" w:styleId="7">
    <w:name w:val="页脚1"/>
    <w:basedOn w:val="1"/>
    <w:link w:val="8"/>
    <w:autoRedefine/>
    <w:qFormat/>
    <w:uiPriority w:val="0"/>
    <w:pPr>
      <w:tabs>
        <w:tab w:val="center" w:pos="4153"/>
        <w:tab w:val="right" w:pos="8306"/>
      </w:tabs>
      <w:snapToGrid w:val="0"/>
      <w:jc w:val="left"/>
    </w:pPr>
    <w:rPr>
      <w:sz w:val="18"/>
      <w:szCs w:val="18"/>
    </w:rPr>
  </w:style>
  <w:style w:type="character" w:customStyle="1" w:styleId="8">
    <w:name w:val="Footer Char"/>
    <w:link w:val="7"/>
    <w:autoRedefine/>
    <w:qFormat/>
    <w:uiPriority w:val="0"/>
    <w:rPr>
      <w:rFonts w:ascii="Times New Roman" w:hAnsi="Times New Roman"/>
      <w:kern w:val="2"/>
      <w:sz w:val="18"/>
      <w:szCs w:val="18"/>
    </w:rPr>
  </w:style>
  <w:style w:type="paragraph" w:customStyle="1" w:styleId="9">
    <w:name w:val="页眉1"/>
    <w:basedOn w:val="1"/>
    <w:link w:val="10"/>
    <w:autoRedefine/>
    <w:qFormat/>
    <w:uiPriority w:val="0"/>
    <w:pPr>
      <w:pBdr>
        <w:bottom w:val="single" w:color="000000" w:sz="6" w:space="1"/>
      </w:pBdr>
      <w:tabs>
        <w:tab w:val="center" w:pos="4153"/>
        <w:tab w:val="right" w:pos="8306"/>
      </w:tabs>
      <w:snapToGrid w:val="0"/>
      <w:jc w:val="center"/>
    </w:pPr>
    <w:rPr>
      <w:sz w:val="18"/>
      <w:szCs w:val="18"/>
    </w:rPr>
  </w:style>
  <w:style w:type="character" w:customStyle="1" w:styleId="10">
    <w:name w:val="Header Char"/>
    <w:link w:val="9"/>
    <w:autoRedefine/>
    <w:qFormat/>
    <w:uiPriority w:val="0"/>
    <w:rPr>
      <w:rFonts w:ascii="Times New Roman" w:hAnsi="Times New Roman"/>
      <w:kern w:val="2"/>
      <w:sz w:val="18"/>
      <w:szCs w:val="18"/>
    </w:rPr>
  </w:style>
  <w:style w:type="table" w:customStyle="1" w:styleId="11">
    <w:name w:val="网格型1"/>
    <w:basedOn w:val="5"/>
    <w:autoRedefine/>
    <w:qFormat/>
    <w:uiPriority w:val="0"/>
    <w:rPr>
      <w:rFonts w:ascii="Calibri" w:hAnsi="Calibri" w:eastAsia="宋体"/>
      <w:kern w:val="2"/>
      <w:sz w:val="21"/>
      <w:szCs w:val="22"/>
    </w:rPr>
  </w:style>
  <w:style w:type="character" w:customStyle="1" w:styleId="12">
    <w:name w:val="超链接1"/>
    <w:link w:val="1"/>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2024-01-04T08:28:00Z</dcterms:created>
  <dc:creator>蔡平莉</dc:creator>
  <cp:lastModifiedBy>蔡平莉</cp:lastModifiedBy>
  <dcterms:modified xsi:type="dcterms:W3CDTF">2024-01-08T02:32:04Z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9D26002776FA44F495963AB5FFC2392B_13</vt:lpwstr>
  </property>
</Properties>
</file>