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hint="eastAsia" w:ascii="仿宋_gb2312" w:hAnsi="仿宋" w:eastAsia="仿宋_gb2312"/>
          <w:sz w:val="36"/>
          <w:szCs w:val="36"/>
        </w:rPr>
      </w:pPr>
      <w:r>
        <w:rPr>
          <w:rFonts w:hint="eastAsia" w:ascii="仿宋_gb2312" w:hAnsi="仿宋" w:eastAsia="仿宋_gb2312"/>
          <w:sz w:val="36"/>
          <w:szCs w:val="36"/>
        </w:rPr>
        <w:t>暨南大学环境</w:t>
      </w:r>
      <w:r>
        <w:rPr>
          <w:rFonts w:hint="eastAsia" w:ascii="仿宋_gb2312" w:hAnsi="仿宋" w:eastAsia="仿宋_gb2312"/>
          <w:sz w:val="36"/>
          <w:szCs w:val="36"/>
          <w:lang w:eastAsia="zh-CN"/>
        </w:rPr>
        <w:t>科学与工程</w:t>
      </w:r>
      <w:r>
        <w:rPr>
          <w:rFonts w:hint="eastAsia" w:ascii="仿宋_gb2312" w:hAnsi="仿宋" w:eastAsia="仿宋_gb2312"/>
          <w:sz w:val="36"/>
          <w:szCs w:val="36"/>
        </w:rPr>
        <w:t>博士后科研流动站</w:t>
      </w:r>
    </w:p>
    <w:p>
      <w:pPr>
        <w:ind w:firstLine="3600" w:firstLineChars="1000"/>
        <w:rPr>
          <w:rFonts w:ascii="仿宋_gb2312" w:hAnsi="仿宋" w:eastAsia="仿宋_gb2312"/>
          <w:sz w:val="36"/>
          <w:szCs w:val="36"/>
        </w:rPr>
      </w:pPr>
      <w:r>
        <w:rPr>
          <w:rFonts w:hint="eastAsia" w:ascii="仿宋_gb2312" w:hAnsi="仿宋" w:eastAsia="仿宋_gb2312"/>
          <w:sz w:val="36"/>
          <w:szCs w:val="36"/>
        </w:rPr>
        <w:t>招聘启事</w:t>
      </w:r>
    </w:p>
    <w:p>
      <w:pPr>
        <w:pStyle w:val="9"/>
        <w:numPr>
          <w:ilvl w:val="0"/>
          <w:numId w:val="1"/>
        </w:numPr>
        <w:ind w:firstLineChars="0"/>
        <w:rPr>
          <w:rFonts w:ascii="仿宋" w:hAnsi="仿宋" w:eastAsia="仿宋"/>
          <w:b/>
          <w:bCs/>
          <w:sz w:val="32"/>
          <w:szCs w:val="32"/>
        </w:rPr>
      </w:pPr>
      <w:r>
        <w:rPr>
          <w:rFonts w:hint="eastAsia" w:ascii="仿宋" w:hAnsi="仿宋" w:eastAsia="仿宋"/>
          <w:b/>
          <w:bCs/>
          <w:sz w:val="32"/>
          <w:szCs w:val="32"/>
        </w:rPr>
        <w:t>暨南大学环境</w:t>
      </w:r>
      <w:r>
        <w:rPr>
          <w:rFonts w:hint="eastAsia" w:ascii="仿宋" w:hAnsi="仿宋" w:eastAsia="仿宋"/>
          <w:b/>
          <w:bCs/>
          <w:sz w:val="32"/>
          <w:szCs w:val="32"/>
          <w:lang w:eastAsia="zh-CN"/>
        </w:rPr>
        <w:t>科学与工程</w:t>
      </w:r>
      <w:r>
        <w:rPr>
          <w:rFonts w:hint="eastAsia" w:ascii="仿宋" w:hAnsi="仿宋" w:eastAsia="仿宋"/>
          <w:b/>
          <w:bCs/>
          <w:sz w:val="32"/>
          <w:szCs w:val="32"/>
        </w:rPr>
        <w:t>学科简介：</w:t>
      </w:r>
    </w:p>
    <w:p>
      <w:pPr>
        <w:pStyle w:val="9"/>
        <w:ind w:left="420" w:firstLine="640"/>
        <w:rPr>
          <w:rFonts w:ascii="仿宋" w:hAnsi="仿宋" w:eastAsia="仿宋"/>
          <w:sz w:val="32"/>
          <w:szCs w:val="32"/>
        </w:rPr>
      </w:pPr>
      <w:r>
        <w:rPr>
          <w:rFonts w:hint="eastAsia" w:ascii="仿宋" w:hAnsi="仿宋" w:eastAsia="仿宋"/>
          <w:sz w:val="32"/>
          <w:szCs w:val="32"/>
        </w:rPr>
        <w:t>暨南大学环境</w:t>
      </w:r>
      <w:r>
        <w:rPr>
          <w:rFonts w:hint="eastAsia" w:ascii="仿宋" w:hAnsi="仿宋" w:eastAsia="仿宋"/>
          <w:sz w:val="32"/>
          <w:szCs w:val="32"/>
          <w:lang w:eastAsia="zh-CN"/>
        </w:rPr>
        <w:t>科学与工程博士后科研流动站设站于环境与气候学院，</w:t>
      </w:r>
      <w:r>
        <w:rPr>
          <w:rFonts w:hint="eastAsia" w:ascii="仿宋" w:hAnsi="仿宋" w:eastAsia="仿宋"/>
          <w:sz w:val="32"/>
          <w:szCs w:val="32"/>
        </w:rPr>
        <w:t>学院根据学校总体发展规划和部署，立足于粤港澳大湾区经济和社会发展的重大需求，以培养具有创新思维和国际视野的新工科人才为使命。</w:t>
      </w:r>
    </w:p>
    <w:p>
      <w:pPr>
        <w:pStyle w:val="9"/>
        <w:ind w:left="420" w:firstLine="640"/>
        <w:rPr>
          <w:rFonts w:hint="eastAsia" w:ascii="仿宋" w:hAnsi="仿宋" w:eastAsia="仿宋"/>
          <w:sz w:val="32"/>
          <w:szCs w:val="32"/>
        </w:rPr>
      </w:pPr>
      <w:r>
        <w:rPr>
          <w:rFonts w:hint="eastAsia" w:ascii="仿宋" w:hAnsi="仿宋" w:eastAsia="仿宋"/>
          <w:sz w:val="32"/>
          <w:szCs w:val="32"/>
        </w:rPr>
        <w:t>本学科博士后科研流动站设置了污染物环境行为与效应、污染控制与修复、环境暴露与健康风险、大气环境与气候变化、环境监测与质谱技术</w:t>
      </w:r>
      <w:r>
        <w:rPr>
          <w:rFonts w:ascii="仿宋" w:hAnsi="仿宋" w:eastAsia="仿宋"/>
          <w:sz w:val="32"/>
          <w:szCs w:val="32"/>
        </w:rPr>
        <w:t>5个学科方向。形成了从本科到博士的人才培</w:t>
      </w:r>
      <w:r>
        <w:rPr>
          <w:rFonts w:hint="eastAsia" w:ascii="仿宋" w:hAnsi="仿宋" w:eastAsia="仿宋"/>
          <w:sz w:val="32"/>
          <w:szCs w:val="32"/>
        </w:rPr>
        <w:t>养体系，现拥有环境科学与工程</w:t>
      </w:r>
      <w:r>
        <w:rPr>
          <w:rFonts w:ascii="仿宋" w:hAnsi="仿宋" w:eastAsia="仿宋"/>
          <w:sz w:val="32"/>
          <w:szCs w:val="32"/>
        </w:rPr>
        <w:t>1个本科专业；环境科学与工程一级学科博士点，含环</w:t>
      </w:r>
      <w:r>
        <w:rPr>
          <w:rFonts w:hint="eastAsia" w:ascii="仿宋" w:hAnsi="仿宋" w:eastAsia="仿宋"/>
          <w:sz w:val="32"/>
          <w:szCs w:val="32"/>
        </w:rPr>
        <w:t>境科学、环境工程</w:t>
      </w:r>
      <w:r>
        <w:rPr>
          <w:rFonts w:ascii="仿宋" w:hAnsi="仿宋" w:eastAsia="仿宋"/>
          <w:sz w:val="32"/>
          <w:szCs w:val="32"/>
        </w:rPr>
        <w:t>2个二级学科；资源与环境专业学位硕士点。环境科学专业获批2021</w:t>
      </w:r>
      <w:r>
        <w:rPr>
          <w:rFonts w:hint="eastAsia" w:ascii="仿宋" w:hAnsi="仿宋" w:eastAsia="仿宋"/>
          <w:sz w:val="32"/>
          <w:szCs w:val="32"/>
        </w:rPr>
        <w:t>年度国家级一流本科专业建设点。</w:t>
      </w:r>
      <w:r>
        <w:rPr>
          <w:rFonts w:ascii="仿宋" w:hAnsi="仿宋" w:eastAsia="仿宋"/>
          <w:sz w:val="32"/>
          <w:szCs w:val="32"/>
        </w:rPr>
        <w:t>本学科现有专任</w:t>
      </w:r>
      <w:r>
        <w:rPr>
          <w:rFonts w:hint="eastAsia" w:ascii="仿宋" w:hAnsi="仿宋" w:eastAsia="仿宋"/>
          <w:sz w:val="32"/>
          <w:szCs w:val="32"/>
        </w:rPr>
        <w:t>教师</w:t>
      </w:r>
      <w:r>
        <w:rPr>
          <w:rFonts w:ascii="仿宋" w:hAnsi="仿宋" w:eastAsia="仿宋"/>
          <w:sz w:val="32"/>
          <w:szCs w:val="32"/>
        </w:rPr>
        <w:t>85人，含世界科学院院士1人、国家级高层次人才16人、国务院政府特殊津贴专家3人、省级高层次人才8人，博士生导师23人。其中正高级29人，副高级46人，获得博</w:t>
      </w:r>
      <w:r>
        <w:rPr>
          <w:rFonts w:hint="eastAsia" w:ascii="仿宋" w:hAnsi="仿宋" w:eastAsia="仿宋"/>
          <w:sz w:val="32"/>
          <w:szCs w:val="32"/>
        </w:rPr>
        <w:t>士学位的专任教师</w:t>
      </w:r>
      <w:r>
        <w:rPr>
          <w:rFonts w:ascii="仿宋" w:hAnsi="仿宋" w:eastAsia="仿宋"/>
          <w:sz w:val="32"/>
          <w:szCs w:val="32"/>
        </w:rPr>
        <w:t>84人，45岁以下青年教师68人占比80%，有海外经历教师占比超60%。同时，本</w:t>
      </w:r>
      <w:r>
        <w:rPr>
          <w:rFonts w:hint="eastAsia" w:ascii="仿宋" w:hAnsi="仿宋" w:eastAsia="仿宋"/>
          <w:sz w:val="32"/>
          <w:szCs w:val="32"/>
        </w:rPr>
        <w:t>学科</w:t>
      </w:r>
      <w:r>
        <w:rPr>
          <w:rFonts w:ascii="仿宋" w:hAnsi="仿宋" w:eastAsia="仿宋"/>
          <w:sz w:val="32"/>
          <w:szCs w:val="32"/>
        </w:rPr>
        <w:t>拥有国家级科研平台1个，省部级科研平台7个，可供使用的实验</w:t>
      </w:r>
      <w:r>
        <w:rPr>
          <w:rFonts w:hint="eastAsia" w:ascii="仿宋" w:hAnsi="仿宋" w:eastAsia="仿宋"/>
          <w:sz w:val="32"/>
          <w:szCs w:val="32"/>
        </w:rPr>
        <w:t>室面积达</w:t>
      </w:r>
      <w:r>
        <w:rPr>
          <w:rFonts w:ascii="仿宋" w:hAnsi="仿宋" w:eastAsia="仿宋"/>
          <w:sz w:val="32"/>
          <w:szCs w:val="32"/>
        </w:rPr>
        <w:t>5200m</w:t>
      </w:r>
      <w:r>
        <w:rPr>
          <w:rFonts w:ascii="仿宋" w:hAnsi="仿宋" w:eastAsia="仿宋"/>
          <w:sz w:val="32"/>
          <w:szCs w:val="32"/>
          <w:vertAlign w:val="superscript"/>
        </w:rPr>
        <w:t>2</w:t>
      </w:r>
      <w:r>
        <w:rPr>
          <w:rFonts w:ascii="仿宋" w:hAnsi="仿宋" w:eastAsia="仿宋"/>
          <w:sz w:val="32"/>
          <w:szCs w:val="32"/>
        </w:rPr>
        <w:t>，仪器设备投资达到2.2亿元，科研条件优越。近五年来本学科发表国</w:t>
      </w:r>
      <w:r>
        <w:rPr>
          <w:rFonts w:hint="eastAsia" w:ascii="仿宋" w:hAnsi="仿宋" w:eastAsia="仿宋"/>
          <w:sz w:val="32"/>
          <w:szCs w:val="32"/>
        </w:rPr>
        <w:t>内外论文近</w:t>
      </w:r>
      <w:r>
        <w:rPr>
          <w:rFonts w:ascii="仿宋" w:hAnsi="仿宋" w:eastAsia="仿宋"/>
          <w:sz w:val="32"/>
          <w:szCs w:val="32"/>
        </w:rPr>
        <w:t>1500篇，以第一/通讯作者在国际顶刊上发表论文近700篇；出版专著8部，</w:t>
      </w:r>
      <w:r>
        <w:rPr>
          <w:rFonts w:hint="eastAsia" w:ascii="仿宋" w:hAnsi="仿宋" w:eastAsia="仿宋"/>
          <w:sz w:val="32"/>
          <w:szCs w:val="32"/>
        </w:rPr>
        <w:t>获得授权</w:t>
      </w:r>
      <w:r>
        <w:rPr>
          <w:rFonts w:ascii="仿宋" w:hAnsi="仿宋" w:eastAsia="仿宋"/>
          <w:sz w:val="32"/>
          <w:szCs w:val="32"/>
        </w:rPr>
        <w:t>PCT 1项，国家授权发明专利54项，获得广东省科技进步奖2项。承担了国家</w:t>
      </w:r>
      <w:r>
        <w:rPr>
          <w:rFonts w:hint="eastAsia" w:ascii="仿宋" w:hAnsi="仿宋" w:eastAsia="仿宋"/>
          <w:sz w:val="32"/>
          <w:szCs w:val="32"/>
        </w:rPr>
        <w:t>级科研项目近</w:t>
      </w:r>
      <w:r>
        <w:rPr>
          <w:rFonts w:ascii="仿宋" w:hAnsi="仿宋" w:eastAsia="仿宋"/>
          <w:sz w:val="32"/>
          <w:szCs w:val="32"/>
        </w:rPr>
        <w:t>142项，省部级项目131项，项目总经费超2亿元。教师获广东省科技进步</w:t>
      </w:r>
      <w:r>
        <w:rPr>
          <w:rFonts w:hint="eastAsia" w:ascii="仿宋" w:hAnsi="仿宋" w:eastAsia="仿宋"/>
          <w:sz w:val="32"/>
          <w:szCs w:val="32"/>
        </w:rPr>
        <w:t>奖</w:t>
      </w:r>
      <w:r>
        <w:rPr>
          <w:rFonts w:ascii="仿宋" w:hAnsi="仿宋" w:eastAsia="仿宋"/>
          <w:sz w:val="32"/>
          <w:szCs w:val="32"/>
        </w:rPr>
        <w:t>2项，获其他各类奖项19项。暨南大学环境科学/生态学学科进入ESI全球前1.58‰，</w:t>
      </w:r>
      <w:r>
        <w:rPr>
          <w:rFonts w:hint="eastAsia" w:ascii="仿宋" w:hAnsi="仿宋" w:eastAsia="仿宋"/>
          <w:sz w:val="32"/>
          <w:szCs w:val="32"/>
        </w:rPr>
        <w:t>省内排名第</w:t>
      </w:r>
      <w:r>
        <w:rPr>
          <w:rFonts w:ascii="仿宋" w:hAnsi="仿宋" w:eastAsia="仿宋"/>
          <w:sz w:val="32"/>
          <w:szCs w:val="32"/>
        </w:rPr>
        <w:t>2位；软科世界一流学科排名世界位列32位，国内位列11位，学科团队的整</w:t>
      </w:r>
      <w:r>
        <w:rPr>
          <w:rFonts w:hint="eastAsia" w:ascii="仿宋" w:hAnsi="仿宋" w:eastAsia="仿宋"/>
          <w:sz w:val="32"/>
          <w:szCs w:val="32"/>
        </w:rPr>
        <w:t>体科研水平和能力居于国内前列。</w:t>
      </w:r>
    </w:p>
    <w:p>
      <w:pPr>
        <w:pStyle w:val="9"/>
        <w:numPr>
          <w:ilvl w:val="0"/>
          <w:numId w:val="1"/>
        </w:numPr>
        <w:ind w:left="720" w:leftChars="0" w:hanging="720" w:firstLineChars="0"/>
        <w:rPr>
          <w:rFonts w:hint="eastAsia" w:ascii="仿宋" w:hAnsi="仿宋" w:eastAsia="仿宋"/>
          <w:b/>
          <w:bCs/>
          <w:sz w:val="32"/>
          <w:szCs w:val="32"/>
          <w:lang w:eastAsia="zh-CN"/>
        </w:rPr>
      </w:pPr>
      <w:r>
        <w:rPr>
          <w:rFonts w:hint="eastAsia" w:ascii="仿宋" w:hAnsi="仿宋" w:eastAsia="仿宋"/>
          <w:b/>
          <w:bCs/>
          <w:sz w:val="32"/>
          <w:szCs w:val="32"/>
          <w:lang w:eastAsia="zh-CN"/>
        </w:rPr>
        <w:t>学科研究方向及特色</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方向</w:t>
            </w:r>
          </w:p>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名称</w:t>
            </w:r>
          </w:p>
          <w:p>
            <w:pPr>
              <w:keepNext w:val="0"/>
              <w:keepLines w:val="0"/>
              <w:widowControl/>
              <w:suppressLineNumbers w:val="0"/>
              <w:jc w:val="left"/>
              <w:rPr>
                <w:rFonts w:hint="eastAsia" w:ascii="仿宋" w:hAnsi="仿宋" w:eastAsia="仿宋" w:cstheme="minorBidi"/>
                <w:kern w:val="2"/>
                <w:sz w:val="32"/>
                <w:szCs w:val="32"/>
                <w:lang w:val="en-US" w:eastAsia="zh-CN" w:bidi="ar-SA"/>
              </w:rPr>
            </w:pPr>
          </w:p>
        </w:tc>
        <w:tc>
          <w:tcPr>
            <w:tcW w:w="7500"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主要研究领域、特色与优势</w:t>
            </w:r>
          </w:p>
          <w:p>
            <w:pPr>
              <w:keepNext w:val="0"/>
              <w:keepLines w:val="0"/>
              <w:widowControl/>
              <w:suppressLineNumbers w:val="0"/>
              <w:jc w:val="left"/>
              <w:rPr>
                <w:rFonts w:hint="eastAsia"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keepNext w:val="0"/>
              <w:keepLines w:val="0"/>
              <w:widowControl/>
              <w:suppressLineNumbers w:val="0"/>
              <w:jc w:val="left"/>
              <w:rPr>
                <w:rFonts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污染物环境行为与 </w:t>
            </w:r>
          </w:p>
          <w:p>
            <w:pPr>
              <w:keepNext w:val="0"/>
              <w:keepLines w:val="0"/>
              <w:widowControl/>
              <w:suppressLineNumbers w:val="0"/>
              <w:jc w:val="left"/>
              <w:rPr>
                <w:rFonts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效应</w:t>
            </w:r>
          </w:p>
          <w:p>
            <w:pPr>
              <w:pStyle w:val="9"/>
              <w:numPr>
                <w:ilvl w:val="0"/>
                <w:numId w:val="0"/>
              </w:numPr>
              <w:rPr>
                <w:rFonts w:hint="eastAsia" w:ascii="仿宋" w:hAnsi="仿宋" w:eastAsia="仿宋" w:cstheme="minorBidi"/>
                <w:kern w:val="2"/>
                <w:sz w:val="32"/>
                <w:szCs w:val="32"/>
                <w:lang w:val="en-US" w:eastAsia="zh-CN" w:bidi="ar-SA"/>
              </w:rPr>
            </w:pPr>
          </w:p>
        </w:tc>
        <w:tc>
          <w:tcPr>
            <w:tcW w:w="7500"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针对环境中多种污染物共存，环境行为复杂，潜在威胁生态系统等问题，探讨区域环境污染物来源、过程及归趋，开展水生态风险评价与管理的研究，阐明污染物迁移转 化规律，融合生物有效性和有害结局路径，构建复合污染水生态风险评价框架，为研 判污染形势和制定精准治污措施提供依据。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keepNext w:val="0"/>
              <w:keepLines w:val="0"/>
              <w:widowControl/>
              <w:suppressLineNumbers w:val="0"/>
              <w:jc w:val="left"/>
              <w:rPr>
                <w:rFonts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污染控制与修复</w:t>
            </w:r>
          </w:p>
          <w:p>
            <w:pPr>
              <w:pStyle w:val="9"/>
              <w:numPr>
                <w:ilvl w:val="0"/>
                <w:numId w:val="0"/>
              </w:numPr>
              <w:rPr>
                <w:rFonts w:hint="eastAsia" w:ascii="仿宋" w:hAnsi="仿宋" w:eastAsia="仿宋" w:cstheme="minorBidi"/>
                <w:kern w:val="2"/>
                <w:sz w:val="32"/>
                <w:szCs w:val="32"/>
                <w:lang w:val="en-US" w:eastAsia="zh-CN" w:bidi="ar-SA"/>
              </w:rPr>
            </w:pPr>
          </w:p>
        </w:tc>
        <w:tc>
          <w:tcPr>
            <w:tcW w:w="7500"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面向减污降碳协同增效、新型污染物管控等国家重大需求，针对粤港澳大湾区突出的水环境、土壤等污染问题，主要开展环境功能材料（如水处理高效催化材料、二氧化碳分离膜、土壤高效修复剂等）、绿色功能微生物、污水减污降碳协同工艺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keepNext w:val="0"/>
              <w:keepLines w:val="0"/>
              <w:widowControl/>
              <w:suppressLineNumbers w:val="0"/>
              <w:jc w:val="left"/>
              <w:rPr>
                <w:rFonts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环境暴露与健康风 </w:t>
            </w:r>
          </w:p>
          <w:p>
            <w:pPr>
              <w:keepNext w:val="0"/>
              <w:keepLines w:val="0"/>
              <w:widowControl/>
              <w:suppressLineNumbers w:val="0"/>
              <w:jc w:val="left"/>
              <w:rPr>
                <w:rFonts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险 </w:t>
            </w:r>
          </w:p>
          <w:p>
            <w:pPr>
              <w:pStyle w:val="9"/>
              <w:numPr>
                <w:ilvl w:val="0"/>
                <w:numId w:val="0"/>
              </w:numPr>
              <w:rPr>
                <w:rFonts w:hint="eastAsia" w:ascii="仿宋" w:hAnsi="仿宋" w:eastAsia="仿宋" w:cstheme="minorBidi"/>
                <w:kern w:val="2"/>
                <w:sz w:val="32"/>
                <w:szCs w:val="32"/>
                <w:lang w:val="en-US" w:eastAsia="zh-CN" w:bidi="ar-SA"/>
              </w:rPr>
            </w:pPr>
          </w:p>
        </w:tc>
        <w:tc>
          <w:tcPr>
            <w:tcW w:w="7500"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针对工农业污染物、废弃品数量快速增长，传统和新型污染物不断加剧环境压力的现实问题，重点研究污染物多介质多途径暴露特征、厘清污染物来源和环境行为、探索 污染物暴露与健康之间的联系和作用机制，最终落脚于指导污染物管理措施的制定、建立环境污染物暴露与健康预警体系。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大气环境与气候变 </w:t>
            </w:r>
          </w:p>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化 </w:t>
            </w:r>
          </w:p>
          <w:p>
            <w:pPr>
              <w:keepNext w:val="0"/>
              <w:keepLines w:val="0"/>
              <w:widowControl/>
              <w:suppressLineNumbers w:val="0"/>
              <w:jc w:val="left"/>
              <w:rPr>
                <w:rFonts w:hint="eastAsia" w:ascii="仿宋" w:hAnsi="仿宋" w:eastAsia="仿宋" w:cstheme="minorBidi"/>
                <w:kern w:val="2"/>
                <w:sz w:val="32"/>
                <w:szCs w:val="32"/>
                <w:lang w:val="en-US" w:eastAsia="zh-CN" w:bidi="ar-SA"/>
              </w:rPr>
            </w:pPr>
          </w:p>
        </w:tc>
        <w:tc>
          <w:tcPr>
            <w:tcW w:w="7500"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瞄准大气环境与气候变化的交叉领域，主要开展大气污染来源、成因与防治、气候变化与大气污染相互作用、大气污染监测、评估与管理、以及气溶胶与云雾的相互作用等研究，拥有一支包含世界科学院院士和国家杰青在内的高水平科研教学队伍，承担包括国家自然科学基金创新群体和多个科技部重点研发计划等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环境监测与质谱技 </w:t>
            </w:r>
          </w:p>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术</w:t>
            </w:r>
          </w:p>
          <w:p>
            <w:pPr>
              <w:keepNext w:val="0"/>
              <w:keepLines w:val="0"/>
              <w:widowControl/>
              <w:suppressLineNumbers w:val="0"/>
              <w:jc w:val="left"/>
              <w:rPr>
                <w:rFonts w:hint="eastAsia" w:ascii="仿宋" w:hAnsi="仿宋" w:eastAsia="仿宋" w:cstheme="minorBidi"/>
                <w:kern w:val="2"/>
                <w:sz w:val="32"/>
                <w:szCs w:val="32"/>
                <w:lang w:val="en-US" w:eastAsia="zh-CN" w:bidi="ar-SA"/>
              </w:rPr>
            </w:pPr>
          </w:p>
        </w:tc>
        <w:tc>
          <w:tcPr>
            <w:tcW w:w="7500" w:type="dxa"/>
          </w:tcPr>
          <w:p>
            <w:pPr>
              <w:keepNext w:val="0"/>
              <w:keepLines w:val="0"/>
              <w:widowControl/>
              <w:suppressLineNumbers w:val="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针对环境污染物在线、走航、高精度监测等热点、难点问题，开展环境监测质谱新装置与新方法原创性研究，兼顾“产学研用”协同攻关和成果转化，旨在培养环境监测和质谱研制方向专业型人才。已自主研制出PM2.5在线源解析质谱监测系统，VOCs走航预警监测质谱系统和预浓缩气质联用仪等多种创新型环境监测设备，实现监测高效化、数据集成化、应用智能化，成果荣获包括2项广东省科技进步一等奖在内的多项省 部级奖励，并入选国家“十一五”、“十二五”重大科技成就展，成为生态环境部重点推荐的技术，在全国300多个城市获得应用。</w:t>
            </w:r>
          </w:p>
          <w:p>
            <w:pPr>
              <w:keepNext w:val="0"/>
              <w:keepLines w:val="0"/>
              <w:widowControl/>
              <w:suppressLineNumbers w:val="0"/>
              <w:jc w:val="left"/>
              <w:rPr>
                <w:rFonts w:hint="eastAsia" w:ascii="仿宋" w:hAnsi="仿宋" w:eastAsia="仿宋" w:cstheme="minorBidi"/>
                <w:kern w:val="2"/>
                <w:sz w:val="32"/>
                <w:szCs w:val="32"/>
                <w:lang w:val="en-US" w:eastAsia="zh-CN" w:bidi="ar-SA"/>
              </w:rPr>
            </w:pPr>
          </w:p>
        </w:tc>
      </w:tr>
    </w:tbl>
    <w:p>
      <w:pPr>
        <w:pStyle w:val="9"/>
        <w:numPr>
          <w:ilvl w:val="0"/>
          <w:numId w:val="0"/>
        </w:numPr>
        <w:ind w:leftChars="0"/>
        <w:rPr>
          <w:rFonts w:hint="eastAsia" w:ascii="仿宋" w:hAnsi="仿宋" w:eastAsia="仿宋"/>
          <w:sz w:val="32"/>
          <w:szCs w:val="32"/>
          <w:lang w:eastAsia="zh-CN"/>
        </w:rPr>
      </w:pPr>
    </w:p>
    <w:p>
      <w:pPr>
        <w:pStyle w:val="9"/>
        <w:ind w:left="420" w:firstLine="640"/>
        <w:rPr>
          <w:rFonts w:hint="eastAsia" w:ascii="仿宋" w:hAnsi="仿宋" w:eastAsia="仿宋"/>
          <w:sz w:val="32"/>
          <w:szCs w:val="32"/>
        </w:rPr>
      </w:pPr>
    </w:p>
    <w:p>
      <w:pPr>
        <w:pStyle w:val="9"/>
        <w:numPr>
          <w:ilvl w:val="0"/>
          <w:numId w:val="1"/>
        </w:numPr>
        <w:ind w:firstLineChars="0"/>
        <w:rPr>
          <w:rFonts w:ascii="仿宋" w:hAnsi="仿宋" w:eastAsia="仿宋"/>
          <w:b/>
          <w:bCs/>
          <w:sz w:val="32"/>
          <w:szCs w:val="32"/>
        </w:rPr>
      </w:pPr>
      <w:r>
        <w:rPr>
          <w:rFonts w:hint="eastAsia" w:ascii="仿宋" w:hAnsi="仿宋" w:eastAsia="仿宋"/>
          <w:b/>
          <w:bCs/>
          <w:sz w:val="32"/>
          <w:szCs w:val="32"/>
        </w:rPr>
        <w:t>基本条件</w:t>
      </w:r>
    </w:p>
    <w:p>
      <w:pPr>
        <w:pStyle w:val="4"/>
        <w:shd w:val="clear" w:color="auto" w:fill="FFFFFF"/>
        <w:spacing w:before="0" w:beforeAutospacing="0" w:after="0" w:afterAutospacing="0" w:line="360" w:lineRule="atLeast"/>
        <w:rPr>
          <w:rFonts w:ascii="仿宋" w:hAnsi="仿宋" w:eastAsia="仿宋" w:cstheme="minorBidi"/>
          <w:kern w:val="2"/>
          <w:sz w:val="32"/>
          <w:szCs w:val="32"/>
        </w:rPr>
      </w:pPr>
      <w:r>
        <w:rPr>
          <w:rFonts w:ascii="Calibri" w:hAnsi="Calibri" w:eastAsia="仿宋" w:cs="Calibri"/>
          <w:kern w:val="2"/>
          <w:sz w:val="32"/>
          <w:szCs w:val="32"/>
        </w:rPr>
        <w:t> </w:t>
      </w:r>
      <w:r>
        <w:rPr>
          <w:rFonts w:hint="eastAsia" w:ascii="仿宋" w:hAnsi="仿宋" w:eastAsia="仿宋" w:cstheme="minorBidi"/>
          <w:kern w:val="2"/>
          <w:sz w:val="32"/>
          <w:szCs w:val="32"/>
        </w:rPr>
        <w:t>1.爱国守法，身心健康，思想政治素质好，遵守国家和地方法律法规，恪守学术道德规范。</w:t>
      </w:r>
    </w:p>
    <w:p>
      <w:pPr>
        <w:pStyle w:val="4"/>
        <w:shd w:val="clear" w:color="auto" w:fill="FFFFFF"/>
        <w:spacing w:before="0" w:beforeAutospacing="0" w:after="0" w:afterAutospacing="0" w:line="360" w:lineRule="atLeast"/>
        <w:rPr>
          <w:rFonts w:hint="eastAsia" w:ascii="仿宋" w:hAnsi="仿宋" w:eastAsia="仿宋" w:cstheme="minorBidi"/>
          <w:kern w:val="2"/>
          <w:sz w:val="32"/>
          <w:szCs w:val="32"/>
        </w:rPr>
      </w:pPr>
      <w:r>
        <w:rPr>
          <w:rFonts w:hint="eastAsia" w:ascii="仿宋" w:hAnsi="仿宋" w:eastAsia="仿宋" w:cstheme="minorBidi"/>
          <w:kern w:val="2"/>
          <w:sz w:val="32"/>
          <w:szCs w:val="32"/>
        </w:rPr>
        <w:t>2.获得博士学位一般不超过3年，年龄在35周岁（含）以下。具有较强的英语阅读和写作能力，取得一定研究成果且具备较强的独立开展科学研究的能力。</w:t>
      </w:r>
    </w:p>
    <w:p>
      <w:pPr>
        <w:pStyle w:val="4"/>
        <w:shd w:val="clear" w:color="auto" w:fill="FFFFFF"/>
        <w:spacing w:before="0" w:beforeAutospacing="0" w:after="0" w:afterAutospacing="0" w:line="360" w:lineRule="atLeast"/>
        <w:rPr>
          <w:rFonts w:hint="eastAsia" w:ascii="仿宋" w:hAnsi="仿宋" w:eastAsia="仿宋" w:cstheme="minorBidi"/>
          <w:kern w:val="2"/>
          <w:sz w:val="32"/>
          <w:szCs w:val="32"/>
        </w:rPr>
      </w:pPr>
      <w:r>
        <w:rPr>
          <w:rFonts w:hint="eastAsia" w:ascii="仿宋" w:hAnsi="仿宋" w:eastAsia="仿宋" w:cstheme="minorBidi"/>
          <w:kern w:val="2"/>
          <w:sz w:val="32"/>
          <w:szCs w:val="32"/>
        </w:rPr>
        <w:t>3.具备环境科学与工程、环境健康、大气科学、气象气候等</w:t>
      </w:r>
      <w:r>
        <w:rPr>
          <w:rFonts w:hint="eastAsia" w:ascii="仿宋" w:hAnsi="仿宋" w:eastAsia="仿宋" w:cstheme="minorBidi"/>
          <w:kern w:val="2"/>
          <w:sz w:val="32"/>
          <w:szCs w:val="32"/>
          <w:lang w:eastAsia="zh-CN"/>
        </w:rPr>
        <w:t>相关领域</w:t>
      </w:r>
      <w:r>
        <w:rPr>
          <w:rFonts w:hint="eastAsia" w:ascii="仿宋" w:hAnsi="仿宋" w:eastAsia="仿宋" w:cstheme="minorBidi"/>
          <w:kern w:val="2"/>
          <w:sz w:val="32"/>
          <w:szCs w:val="32"/>
        </w:rPr>
        <w:t>研究背景，优先考虑在博士研究生阶段已从事过相关研究工作。</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四、招收类型</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博士后招收类型分为A类和B类。A类招收指标优先支持有在研国家级项目、省市重点重大项目、横向重大项目的合作导师。B类博士后根据流动站、合作导师科研工作需求自主招收。</w:t>
      </w:r>
    </w:p>
    <w:p>
      <w:pPr>
        <w:rPr>
          <w:rFonts w:hint="eastAsia" w:ascii="仿宋" w:hAnsi="仿宋" w:eastAsia="仿宋"/>
          <w:b/>
          <w:bCs/>
          <w:sz w:val="32"/>
          <w:szCs w:val="32"/>
          <w:lang w:val="en-US" w:eastAsia="zh-CN"/>
        </w:rPr>
      </w:pP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五、相关待遇</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1.基本待遇。</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A类博士后：基础性生活补贴20万元/年（含住房公积金的单位缴纳部分）；租房补贴2.4万元/年；社会保险约2.6万元/年（单位缴纳部分）；合作导师及团队配套生活补贴（不低于2万元/年）。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B类博士后：学校支付基础性生活补贴15万元/年（含住房公积金和社会保险的单位缴纳部分），其他待遇由合作导师团队或学院自筹解决。</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2.奖励性生活补贴。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A类和B类博士后综合考评结果特优者可一次性获得奖励性生活补贴30万元，综合考评结果优秀者可一次性获得奖励性生活补贴10万元。</w:t>
      </w:r>
      <w:bookmarkStart w:id="0" w:name="_GoBack"/>
      <w:bookmarkEnd w:id="0"/>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3.享受学校教职工同等医疗保障、子女入读学校附属幼儿园和中小学的待遇。</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4.博士后在站期间可申报高级专业技术资格，指标单列。</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5.综合考评特优、优秀的博士后，按照学校人才引进相关规定，同等条件下可优先留校工作。</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六、报名方式</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将个人简历电子版发送至联系邮箱，我们会及时跟您联系。简历应包括以下基本内容：姓名、性别、出生年月、取得博士学位时间（精确到年月）、博士毕业学校及专业、博士论文题目、科研成果、联系方式。邮件请以“***应聘博士后”命名。</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联系方式：李老师，联系电话：020-37336629，电子邮箱：limengxuan@jnu.edu.cn</w:t>
      </w:r>
    </w:p>
    <w:p>
      <w:pPr>
        <w:widowControl/>
        <w:wordWrap w:val="0"/>
        <w:spacing w:line="400" w:lineRule="exact"/>
        <w:ind w:firstLine="480" w:firstLineChars="200"/>
        <w:jc w:val="left"/>
        <w:rPr>
          <w:rFonts w:ascii="仿宋" w:hAnsi="仿宋" w:eastAsia="仿宋" w:cs="宋体"/>
          <w:kern w:val="0"/>
          <w:sz w:val="24"/>
        </w:rPr>
      </w:pPr>
    </w:p>
    <w:p>
      <w:pPr>
        <w:widowControl/>
        <w:wordWrap w:val="0"/>
        <w:spacing w:line="400" w:lineRule="exact"/>
        <w:ind w:firstLine="480" w:firstLineChars="200"/>
        <w:jc w:val="left"/>
        <w:rPr>
          <w:rFonts w:hint="eastAsia" w:ascii="仿宋" w:hAnsi="仿宋" w:eastAsia="仿宋" w:cs="宋体"/>
          <w:kern w:val="0"/>
          <w:sz w:val="24"/>
        </w:rPr>
      </w:pP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博士后研究人员招聘其他信息请详见《2022年暨南大学博士后招聘公告》https://hrdam.jnu.edu.cn/2021/1231/c343a675209/page.htm</w:t>
      </w: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D35F3"/>
    <w:multiLevelType w:val="multilevel"/>
    <w:tmpl w:val="7FCD35F3"/>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iMmE3ZmMzNTY0MTJlMTk4NDdmODNkNTkxNDViNzkifQ=="/>
  </w:docVars>
  <w:rsids>
    <w:rsidRoot w:val="005D7969"/>
    <w:rsid w:val="0008105E"/>
    <w:rsid w:val="00103613"/>
    <w:rsid w:val="00211DF4"/>
    <w:rsid w:val="00362770"/>
    <w:rsid w:val="005D7969"/>
    <w:rsid w:val="00633C4B"/>
    <w:rsid w:val="007D35C8"/>
    <w:rsid w:val="00826576"/>
    <w:rsid w:val="009B5C37"/>
    <w:rsid w:val="00A61837"/>
    <w:rsid w:val="2BCE313D"/>
    <w:rsid w:val="3C973FE9"/>
    <w:rsid w:val="6119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373737"/>
      <w:u w:val="none"/>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Words>
  <Characters>779</Characters>
  <Lines>6</Lines>
  <Paragraphs>1</Paragraphs>
  <TotalTime>2</TotalTime>
  <ScaleCrop>false</ScaleCrop>
  <LinksUpToDate>false</LinksUpToDate>
  <CharactersWithSpaces>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2024-01-05T01:18:00Z</dcterms:created>
  <dc:creator>耿雪松</dc:creator>
  <cp:lastModifiedBy>游离体</cp:lastModifiedBy>
  <dcterms:modified xsi:type="dcterms:W3CDTF">2024-01-08T05:08:46Z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1378D7420EC04F288853BE831F57A0AD_13</vt:lpwstr>
  </property>
</Properties>
</file>