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工商管理博士后科研流动站</w:t>
      </w:r>
      <w:r>
        <w:rPr>
          <w:rFonts w:hint="eastAsia" w:ascii="方正小标宋_GBK" w:hAnsi="方正小标宋_GBK" w:eastAsia="方正小标宋_GBK" w:cs="方正小标宋_GBK"/>
          <w:sz w:val="44"/>
          <w:szCs w:val="44"/>
        </w:rPr>
        <w:t>招收</w:t>
      </w:r>
    </w:p>
    <w:p>
      <w:pPr>
        <w:spacing w:line="60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博士后研究人员简章</w:t>
      </w:r>
    </w:p>
    <w:p>
      <w:pPr>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一、暨南大学管理学院简介</w:t>
      </w:r>
    </w:p>
    <w:p>
      <w:pPr>
        <w:spacing w:line="600" w:lineRule="exact"/>
        <w:ind w:firstLine="640" w:firstLineChars="200"/>
        <w:textAlignment w:val="baseline"/>
        <w:rPr>
          <w:rFonts w:ascii="Times New Roman" w:hAnsi="Times New Roman" w:eastAsia="仿宋"/>
          <w:i w:val="0"/>
          <w:iCs/>
          <w:sz w:val="32"/>
          <w:szCs w:val="32"/>
          <w:u w:val="none"/>
        </w:rPr>
      </w:pPr>
      <w:r>
        <w:rPr>
          <w:rFonts w:hint="eastAsia" w:ascii="Times New Roman" w:hAnsi="Times New Roman" w:eastAsia="仿宋"/>
          <w:sz w:val="32"/>
          <w:szCs w:val="32"/>
        </w:rPr>
        <w:t>暨南大学商科源于</w:t>
      </w:r>
      <w:r>
        <w:rPr>
          <w:rFonts w:ascii="Times New Roman" w:hAnsi="Times New Roman" w:eastAsia="仿宋"/>
          <w:sz w:val="32"/>
          <w:szCs w:val="32"/>
        </w:rPr>
        <w:t>1918年，是全国最早开展商科教育的高等学府之一。本学科2003年获一级学</w:t>
      </w:r>
      <w:r>
        <w:rPr>
          <w:rFonts w:hint="eastAsia" w:ascii="Times New Roman" w:hAnsi="Times New Roman" w:eastAsia="仿宋"/>
          <w:sz w:val="32"/>
          <w:szCs w:val="32"/>
        </w:rPr>
        <w:t>科博士学位授予权及博士后流动站。</w:t>
      </w:r>
      <w:r>
        <w:rPr>
          <w:rFonts w:ascii="Times New Roman" w:hAnsi="Times New Roman" w:eastAsia="仿宋"/>
          <w:sz w:val="32"/>
          <w:szCs w:val="32"/>
        </w:rPr>
        <w:t>2007年评为省级重点学科，2012年获批省攀峰重点学科。近</w:t>
      </w:r>
      <w:r>
        <w:rPr>
          <w:rFonts w:hint="eastAsia" w:ascii="Times New Roman" w:hAnsi="Times New Roman" w:eastAsia="仿宋"/>
          <w:sz w:val="32"/>
          <w:szCs w:val="32"/>
        </w:rPr>
        <w:t>五年自主培养全国首批黄大年式教师团队，国家“万人计划”教学名师、国家优青和青年长江学者各</w:t>
      </w:r>
      <w:r>
        <w:rPr>
          <w:rFonts w:ascii="Times New Roman" w:hAnsi="Times New Roman" w:eastAsia="仿宋"/>
          <w:sz w:val="32"/>
          <w:szCs w:val="32"/>
        </w:rPr>
        <w:t>1名。获批国家级一流专业</w:t>
      </w:r>
      <w:r>
        <w:rPr>
          <w:rFonts w:hint="eastAsia" w:ascii="Times New Roman" w:hAnsi="Times New Roman" w:eastAsia="仿宋"/>
          <w:sz w:val="32"/>
          <w:szCs w:val="32"/>
        </w:rPr>
        <w:t>5</w:t>
      </w:r>
      <w:r>
        <w:rPr>
          <w:rFonts w:ascii="Times New Roman" w:hAnsi="Times New Roman" w:eastAsia="仿宋"/>
          <w:sz w:val="32"/>
          <w:szCs w:val="32"/>
        </w:rPr>
        <w:t>个、一流课程6门。获全国高校青年教师教学大赛二等奖1</w:t>
      </w:r>
      <w:r>
        <w:rPr>
          <w:rFonts w:hint="eastAsia" w:ascii="Times New Roman" w:hAnsi="Times New Roman" w:eastAsia="仿宋"/>
          <w:sz w:val="32"/>
          <w:szCs w:val="32"/>
        </w:rPr>
        <w:t>项，省教学成果特等奖</w:t>
      </w:r>
      <w:r>
        <w:rPr>
          <w:rFonts w:ascii="Times New Roman" w:hAnsi="Times New Roman" w:eastAsia="仿宋"/>
          <w:sz w:val="32"/>
          <w:szCs w:val="32"/>
        </w:rPr>
        <w:t>1项和一等奖3项，国家级实验教学示范中心1个。学院师资阵容强大，</w:t>
      </w:r>
      <w:r>
        <w:rPr>
          <w:rFonts w:hint="eastAsia" w:ascii="Times New Roman" w:hAnsi="Times New Roman" w:eastAsia="仿宋"/>
          <w:sz w:val="32"/>
          <w:szCs w:val="32"/>
        </w:rPr>
        <w:t>共有专职教师</w:t>
      </w:r>
      <w:r>
        <w:rPr>
          <w:rFonts w:hint="eastAsia" w:ascii="Times New Roman" w:hAnsi="Times New Roman" w:eastAsia="仿宋"/>
          <w:sz w:val="32"/>
          <w:szCs w:val="32"/>
          <w:lang w:val="en-US" w:eastAsia="zh-CN"/>
        </w:rPr>
        <w:t>131</w:t>
      </w:r>
      <w:r>
        <w:rPr>
          <w:rFonts w:ascii="Times New Roman" w:hAnsi="Times New Roman" w:eastAsia="仿宋"/>
          <w:sz w:val="32"/>
          <w:szCs w:val="32"/>
        </w:rPr>
        <w:t>人，其中11</w:t>
      </w:r>
      <w:r>
        <w:rPr>
          <w:rFonts w:hint="eastAsia" w:ascii="Times New Roman" w:hAnsi="Times New Roman" w:eastAsia="仿宋"/>
          <w:sz w:val="32"/>
          <w:szCs w:val="32"/>
          <w:lang w:val="en-US" w:eastAsia="zh-CN"/>
        </w:rPr>
        <w:t>7</w:t>
      </w:r>
      <w:r>
        <w:rPr>
          <w:rFonts w:ascii="Times New Roman" w:hAnsi="Times New Roman" w:eastAsia="仿宋"/>
          <w:sz w:val="32"/>
          <w:szCs w:val="32"/>
        </w:rPr>
        <w:t>人具有博士学位；教授</w:t>
      </w:r>
      <w:r>
        <w:rPr>
          <w:rFonts w:hint="eastAsia" w:ascii="Times New Roman" w:hAnsi="Times New Roman" w:eastAsia="仿宋"/>
          <w:sz w:val="32"/>
          <w:szCs w:val="32"/>
          <w:lang w:val="en-US" w:eastAsia="zh-CN"/>
        </w:rPr>
        <w:t>46</w:t>
      </w:r>
      <w:r>
        <w:rPr>
          <w:rFonts w:ascii="Times New Roman" w:hAnsi="Times New Roman" w:eastAsia="仿宋"/>
          <w:sz w:val="32"/>
          <w:szCs w:val="32"/>
        </w:rPr>
        <w:t>人，副教授56人；</w:t>
      </w:r>
      <w:r>
        <w:rPr>
          <w:rFonts w:ascii="Times New Roman" w:hAnsi="Times New Roman" w:eastAsia="仿宋"/>
          <w:i w:val="0"/>
          <w:iCs/>
          <w:sz w:val="32"/>
          <w:szCs w:val="32"/>
          <w:u w:val="none"/>
        </w:rPr>
        <w:t>博士生导师</w:t>
      </w:r>
      <w:r>
        <w:rPr>
          <w:rFonts w:hint="eastAsia" w:ascii="Times New Roman" w:hAnsi="Times New Roman" w:eastAsia="仿宋"/>
          <w:i w:val="0"/>
          <w:iCs/>
          <w:sz w:val="32"/>
          <w:szCs w:val="32"/>
          <w:u w:val="none"/>
          <w:lang w:val="en-US" w:eastAsia="zh-CN"/>
        </w:rPr>
        <w:t>43</w:t>
      </w:r>
      <w:r>
        <w:rPr>
          <w:rFonts w:ascii="Times New Roman" w:hAnsi="Times New Roman" w:eastAsia="仿宋"/>
          <w:i w:val="0"/>
          <w:iCs/>
          <w:sz w:val="32"/>
          <w:szCs w:val="32"/>
          <w:u w:val="none"/>
        </w:rPr>
        <w:t>人，硕士生导师</w:t>
      </w:r>
      <w:r>
        <w:rPr>
          <w:rFonts w:hint="eastAsia" w:ascii="Times New Roman" w:hAnsi="Times New Roman" w:eastAsia="仿宋"/>
          <w:i w:val="0"/>
          <w:iCs/>
          <w:sz w:val="32"/>
          <w:szCs w:val="32"/>
          <w:u w:val="none"/>
          <w:lang w:val="en-US" w:eastAsia="zh-CN"/>
        </w:rPr>
        <w:t>94</w:t>
      </w:r>
      <w:r>
        <w:rPr>
          <w:rFonts w:ascii="Times New Roman" w:hAnsi="Times New Roman" w:eastAsia="仿宋"/>
          <w:i w:val="0"/>
          <w:iCs/>
          <w:sz w:val="32"/>
          <w:szCs w:val="32"/>
          <w:u w:val="none"/>
        </w:rPr>
        <w:t>人。</w:t>
      </w:r>
    </w:p>
    <w:p>
      <w:pPr>
        <w:spacing w:line="600" w:lineRule="exact"/>
        <w:ind w:firstLine="640" w:firstLineChars="200"/>
        <w:textAlignment w:val="baseline"/>
        <w:rPr>
          <w:rFonts w:hint="eastAsia" w:ascii="Times New Roman" w:hAnsi="Times New Roman" w:eastAsia="仿宋"/>
          <w:b/>
          <w:bCs/>
          <w:sz w:val="32"/>
          <w:szCs w:val="32"/>
        </w:rPr>
      </w:pPr>
      <w:r>
        <w:rPr>
          <w:rFonts w:hint="eastAsia" w:ascii="Times New Roman" w:hAnsi="Times New Roman" w:eastAsia="仿宋"/>
          <w:sz w:val="32"/>
          <w:szCs w:val="32"/>
        </w:rPr>
        <w:t>秉承“融合、提炼中华管理智慧，为世界培养熟谙中华文化的管理精英”之使命，</w:t>
      </w:r>
      <w:r>
        <w:rPr>
          <w:rFonts w:ascii="Times New Roman" w:hAnsi="Times New Roman" w:eastAsia="仿宋"/>
          <w:sz w:val="32"/>
          <w:szCs w:val="32"/>
        </w:rPr>
        <w:t>2010年，管理学院先后被腾讯网、中国教育网评和环球网为“中国十大MBA教育学院”、“十大商学院杰出贡献奖”和“十大MBA学院”；在2011年中国商学院领袖年会上，荣获“2011中国学子心中十大最具品牌价值商学院”奖项；</w:t>
      </w:r>
      <w:r>
        <w:rPr>
          <w:rFonts w:hint="eastAsia" w:ascii="Times New Roman" w:hAnsi="Times New Roman" w:eastAsia="仿宋"/>
          <w:b/>
          <w:bCs/>
          <w:sz w:val="32"/>
          <w:szCs w:val="32"/>
        </w:rPr>
        <w:t>2</w:t>
      </w:r>
      <w:r>
        <w:rPr>
          <w:rFonts w:ascii="Times New Roman" w:hAnsi="Times New Roman" w:eastAsia="仿宋"/>
          <w:b/>
          <w:bCs/>
          <w:sz w:val="32"/>
          <w:szCs w:val="32"/>
        </w:rPr>
        <w:t>016年在教育部第四轮学科评估中获评</w:t>
      </w:r>
      <w:r>
        <w:rPr>
          <w:rFonts w:hint="eastAsia" w:ascii="Times New Roman" w:hAnsi="Times New Roman" w:eastAsia="仿宋"/>
          <w:b/>
          <w:bCs/>
          <w:sz w:val="32"/>
          <w:szCs w:val="32"/>
        </w:rPr>
        <w:t>B</w:t>
      </w:r>
      <w:r>
        <w:rPr>
          <w:rFonts w:ascii="Times New Roman" w:hAnsi="Times New Roman" w:eastAsia="仿宋"/>
          <w:b/>
          <w:bCs/>
          <w:sz w:val="32"/>
          <w:szCs w:val="32"/>
        </w:rPr>
        <w:t>+学科</w:t>
      </w:r>
      <w:r>
        <w:rPr>
          <w:rFonts w:ascii="Times New Roman" w:hAnsi="Times New Roman" w:eastAsia="仿宋"/>
          <w:sz w:val="32"/>
          <w:szCs w:val="32"/>
        </w:rPr>
        <w:t>，MBA项目在全国首次专业学位评估获评A-；</w:t>
      </w:r>
      <w:r>
        <w:rPr>
          <w:rFonts w:hint="eastAsia" w:ascii="Times New Roman" w:hAnsi="Times New Roman" w:eastAsia="仿宋"/>
          <w:b/>
          <w:bCs/>
          <w:sz w:val="32"/>
          <w:szCs w:val="32"/>
        </w:rPr>
        <w:t>2020年本学科在“软科中国最好学科排名”中位列第13，跻身全国前5%。</w:t>
      </w:r>
    </w:p>
    <w:p>
      <w:pPr>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二、暨南大学工商管理</w:t>
      </w:r>
      <w:r>
        <w:rPr>
          <w:rFonts w:hint="eastAsia" w:ascii="黑体" w:hAnsi="黑体" w:eastAsia="黑体" w:cs="黑体"/>
          <w:sz w:val="32"/>
          <w:szCs w:val="32"/>
          <w:lang w:val="en-US" w:eastAsia="zh-CN"/>
        </w:rPr>
        <w:t>博士后科研</w:t>
      </w:r>
      <w:r>
        <w:rPr>
          <w:rFonts w:hint="eastAsia" w:ascii="黑体" w:hAnsi="黑体" w:eastAsia="黑体" w:cs="黑体"/>
          <w:sz w:val="32"/>
          <w:szCs w:val="32"/>
        </w:rPr>
        <w:t>流动站简介</w:t>
      </w:r>
    </w:p>
    <w:p>
      <w:pPr>
        <w:spacing w:line="600" w:lineRule="exact"/>
        <w:ind w:firstLine="640" w:firstLineChars="200"/>
        <w:textAlignment w:val="baseline"/>
        <w:rPr>
          <w:rFonts w:hint="eastAsia" w:ascii="Times New Roman" w:hAnsi="Times New Roman" w:eastAsia="仿宋"/>
          <w:sz w:val="32"/>
          <w:szCs w:val="32"/>
          <w:lang w:val="en-US" w:eastAsia="zh-CN"/>
        </w:rPr>
      </w:pPr>
      <w:r>
        <w:rPr>
          <w:rFonts w:hint="eastAsia" w:ascii="Times New Roman" w:hAnsi="Times New Roman" w:eastAsia="仿宋"/>
          <w:sz w:val="32"/>
          <w:szCs w:val="32"/>
        </w:rPr>
        <w:t>暨南大学</w:t>
      </w:r>
      <w:r>
        <w:rPr>
          <w:rFonts w:hint="eastAsia" w:ascii="Times New Roman" w:hAnsi="Times New Roman" w:eastAsia="仿宋"/>
          <w:b/>
          <w:bCs/>
          <w:sz w:val="32"/>
          <w:szCs w:val="32"/>
        </w:rPr>
        <w:t>工商管理一级学科为广东省“攀峰”重点学科</w:t>
      </w:r>
      <w:r>
        <w:rPr>
          <w:rFonts w:hint="eastAsia" w:ascii="Times New Roman" w:hAnsi="Times New Roman" w:eastAsia="仿宋"/>
          <w:sz w:val="32"/>
          <w:szCs w:val="32"/>
          <w:lang w:val="en-US" w:eastAsia="zh-CN"/>
        </w:rPr>
        <w:t>，</w:t>
      </w:r>
      <w:r>
        <w:rPr>
          <w:rFonts w:hint="eastAsia" w:ascii="Times New Roman" w:hAnsi="Times New Roman" w:eastAsia="仿宋"/>
          <w:sz w:val="32"/>
          <w:szCs w:val="32"/>
        </w:rPr>
        <w:t>博士后流动站覆盖企业管理、会计学、旅游管理、技术经济与管理、国际商务、财务管理、组织行为与人力资源管理7个</w:t>
      </w:r>
      <w:r>
        <w:rPr>
          <w:rFonts w:hint="eastAsia" w:ascii="Times New Roman" w:hAnsi="Times New Roman" w:eastAsia="仿宋"/>
          <w:sz w:val="32"/>
          <w:szCs w:val="32"/>
          <w:lang w:val="en-US" w:eastAsia="zh-CN"/>
        </w:rPr>
        <w:t>研究方向</w:t>
      </w:r>
      <w:r>
        <w:rPr>
          <w:rFonts w:hint="eastAsia" w:ascii="Times New Roman" w:hAnsi="Times New Roman" w:eastAsia="仿宋"/>
          <w:sz w:val="32"/>
          <w:szCs w:val="32"/>
        </w:rPr>
        <w:t>。</w:t>
      </w:r>
    </w:p>
    <w:p>
      <w:pPr>
        <w:spacing w:line="600" w:lineRule="exact"/>
        <w:ind w:firstLine="640" w:firstLineChars="200"/>
        <w:textAlignment w:val="baseline"/>
        <w:rPr>
          <w:rFonts w:hint="eastAsia" w:ascii="宋体" w:hAnsi="宋体" w:eastAsia="宋体" w:cs="宋体"/>
          <w:b/>
          <w:bCs/>
          <w:kern w:val="0"/>
          <w:sz w:val="24"/>
          <w:szCs w:val="24"/>
          <w:lang w:val="en-US" w:eastAsia="zh-CN"/>
        </w:rPr>
      </w:pPr>
      <w:r>
        <w:rPr>
          <w:rFonts w:hint="eastAsia" w:ascii="Times New Roman" w:hAnsi="Times New Roman" w:eastAsia="仿宋"/>
          <w:sz w:val="32"/>
          <w:szCs w:val="32"/>
        </w:rPr>
        <w:t>暨南大学工商管理博士后流动站所依托的学术团队是一支科研水平高的研究队伍。宋献中教授是我国社会责任会计研究的开拓者；胡玉明教授原创性构建了中国管理会计理论体系；王国庆教授率先开展基于学习效应的生产调度研究；张耀辉教授原创性提出三创教育理论；卫海英教授引领品牌资产与品牌危机研究。近年更是建设起一支年富力强，科研创造能力卓著的青年教师队伍如黎文靖教授、欧锦文教授、李爱梅教授、杨德锋教授、饶品贵教授、严鸣教授等，为工商管理学科冲击国内一流学科做出了突出贡献。</w:t>
      </w:r>
    </w:p>
    <w:p>
      <w:pPr>
        <w:keepNext w:val="0"/>
        <w:keepLines w:val="0"/>
        <w:pageBreakBefore w:val="0"/>
        <w:kinsoku/>
        <w:wordWrap/>
        <w:overflowPunct/>
        <w:topLinePunct w:val="0"/>
        <w:autoSpaceDE/>
        <w:autoSpaceDN/>
        <w:bidi w:val="0"/>
        <w:adjustRightInd/>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lang w:val="en-US" w:eastAsia="zh-CN"/>
        </w:rPr>
        <w:t>三</w:t>
      </w:r>
      <w:r>
        <w:rPr>
          <w:rFonts w:ascii="黑体" w:hAnsi="黑体" w:eastAsia="黑体" w:cs="黑体"/>
          <w:sz w:val="32"/>
          <w:szCs w:val="32"/>
        </w:rPr>
        <w:t>、</w:t>
      </w:r>
      <w:r>
        <w:rPr>
          <w:rFonts w:hint="eastAsia" w:ascii="黑体" w:hAnsi="黑体" w:eastAsia="黑体" w:cs="黑体"/>
          <w:sz w:val="32"/>
          <w:szCs w:val="32"/>
        </w:rPr>
        <w:t>报名要求</w:t>
      </w:r>
    </w:p>
    <w:p>
      <w:pPr>
        <w:keepNext w:val="0"/>
        <w:keepLines w:val="0"/>
        <w:pageBreakBefore w:val="0"/>
        <w:kinsoku/>
        <w:wordWrap/>
        <w:overflowPunct/>
        <w:topLinePunct w:val="0"/>
        <w:autoSpaceDE/>
        <w:autoSpaceDN/>
        <w:bidi w:val="0"/>
        <w:adjustRightInd/>
        <w:spacing w:line="600" w:lineRule="exact"/>
        <w:ind w:firstLine="640" w:firstLineChars="200"/>
        <w:textAlignment w:val="baseline"/>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本流动站</w:t>
      </w:r>
      <w:r>
        <w:rPr>
          <w:rFonts w:hint="eastAsia" w:ascii="Times New Roman" w:hAnsi="Times New Roman" w:eastAsia="仿宋"/>
          <w:b/>
          <w:bCs/>
          <w:sz w:val="32"/>
          <w:szCs w:val="32"/>
          <w:lang w:val="en-US" w:eastAsia="zh-CN"/>
        </w:rPr>
        <w:t>长期</w:t>
      </w:r>
      <w:r>
        <w:rPr>
          <w:rFonts w:hint="eastAsia" w:ascii="Times New Roman" w:hAnsi="Times New Roman" w:eastAsia="仿宋"/>
          <w:sz w:val="32"/>
          <w:szCs w:val="32"/>
          <w:lang w:val="en-US" w:eastAsia="zh-CN"/>
        </w:rPr>
        <w:t>招聘国内外优秀人才，</w:t>
      </w:r>
      <w:r>
        <w:rPr>
          <w:rFonts w:ascii="Times New Roman" w:hAnsi="Times New Roman" w:eastAsia="仿宋"/>
          <w:sz w:val="32"/>
          <w:szCs w:val="32"/>
        </w:rPr>
        <w:t>凡有意愿来</w:t>
      </w:r>
      <w:r>
        <w:rPr>
          <w:rFonts w:hint="eastAsia" w:ascii="Times New Roman" w:hAnsi="Times New Roman" w:eastAsia="仿宋"/>
          <w:sz w:val="32"/>
          <w:szCs w:val="32"/>
          <w:lang w:val="en-US" w:eastAsia="zh-CN"/>
        </w:rPr>
        <w:t>本站</w:t>
      </w:r>
      <w:r>
        <w:rPr>
          <w:rFonts w:ascii="Times New Roman" w:hAnsi="Times New Roman" w:eastAsia="仿宋"/>
          <w:sz w:val="32"/>
          <w:szCs w:val="32"/>
        </w:rPr>
        <w:t>做博士后研究人员，请提交以下申请材料</w:t>
      </w:r>
      <w:r>
        <w:rPr>
          <w:rFonts w:hint="eastAsia" w:ascii="Times New Roman" w:hAnsi="Times New Roman" w:eastAsia="仿宋"/>
          <w:sz w:val="32"/>
          <w:szCs w:val="32"/>
        </w:rPr>
        <w:t>并发送至邮箱</w:t>
      </w:r>
      <w:r>
        <w:rPr>
          <w:rFonts w:hint="eastAsia" w:ascii="Times New Roman" w:hAnsi="Times New Roman" w:eastAsia="仿宋"/>
          <w:color w:val="0000FF"/>
          <w:sz w:val="32"/>
          <w:szCs w:val="32"/>
          <w:lang w:val="en-US" w:eastAsia="zh-CN"/>
        </w:rPr>
        <w:t>gyanguanban@jnu.edu.cn</w:t>
      </w:r>
      <w:r>
        <w:rPr>
          <w:rFonts w:ascii="Times New Roman" w:hAnsi="Times New Roman" w:eastAsia="仿宋"/>
          <w:sz w:val="32"/>
          <w:szCs w:val="32"/>
        </w:rPr>
        <w:t>，邮件标题请注明：</w:t>
      </w:r>
      <w:r>
        <w:rPr>
          <w:rFonts w:hint="eastAsia" w:ascii="Times New Roman" w:hAnsi="Times New Roman" w:eastAsia="仿宋"/>
          <w:b/>
          <w:bCs/>
          <w:sz w:val="32"/>
          <w:szCs w:val="32"/>
        </w:rPr>
        <w:t>申请博士后</w:t>
      </w:r>
      <w:r>
        <w:rPr>
          <w:rFonts w:ascii="Times New Roman" w:hAnsi="Times New Roman" w:eastAsia="仿宋"/>
          <w:b/>
          <w:bCs/>
          <w:sz w:val="32"/>
          <w:szCs w:val="32"/>
        </w:rPr>
        <w:t>+合作导师+研究方向+毕业院校+年龄</w:t>
      </w:r>
      <w:r>
        <w:rPr>
          <w:rFonts w:hint="eastAsia" w:ascii="Times New Roman" w:hAnsi="Times New Roman" w:eastAsia="仿宋"/>
          <w:sz w:val="32"/>
          <w:szCs w:val="32"/>
          <w:lang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baseline"/>
        <w:rPr>
          <w:rFonts w:ascii="Times New Roman" w:hAnsi="Times New Roman" w:eastAsia="仿宋"/>
          <w:sz w:val="32"/>
          <w:szCs w:val="32"/>
        </w:rPr>
      </w:pPr>
      <w:r>
        <w:rPr>
          <w:rFonts w:hint="eastAsia" w:ascii="Times New Roman" w:hAnsi="Times New Roman" w:eastAsia="仿宋"/>
          <w:sz w:val="32"/>
          <w:szCs w:val="32"/>
          <w:lang w:val="en-US" w:eastAsia="zh-CN"/>
        </w:rPr>
        <w:t>1</w:t>
      </w:r>
      <w:r>
        <w:rPr>
          <w:rFonts w:ascii="Times New Roman" w:hAnsi="Times New Roman" w:eastAsia="仿宋"/>
          <w:sz w:val="32"/>
          <w:szCs w:val="32"/>
        </w:rPr>
        <w:t>.博士学位证书复印件（或博士培养单位出具的论文答辩通过证明）；</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firstLine="640"/>
        <w:textAlignment w:val="baseline"/>
        <w:rPr>
          <w:rFonts w:hint="default" w:ascii="Times New Roman" w:hAnsi="Times New Roman" w:cs="Times New Roman"/>
          <w:b w:val="0"/>
          <w:bCs w:val="0"/>
          <w:sz w:val="32"/>
          <w:szCs w:val="32"/>
        </w:rPr>
      </w:pPr>
      <w:r>
        <w:rPr>
          <w:rFonts w:hint="eastAsia" w:ascii="Times New Roman" w:hAnsi="Times New Roman" w:cs="Times New Roman"/>
          <w:b w:val="0"/>
          <w:bCs w:val="0"/>
          <w:sz w:val="32"/>
          <w:szCs w:val="32"/>
          <w:lang w:val="en-US" w:eastAsia="zh-CN"/>
        </w:rPr>
        <w:t>2</w:t>
      </w:r>
      <w:r>
        <w:rPr>
          <w:rFonts w:hint="default" w:ascii="Times New Roman" w:hAnsi="Times New Roman" w:cs="Times New Roman"/>
          <w:b w:val="0"/>
          <w:bCs w:val="0"/>
          <w:sz w:val="32"/>
          <w:szCs w:val="32"/>
        </w:rPr>
        <w:t>.</w:t>
      </w:r>
      <w:r>
        <w:rPr>
          <w:rFonts w:hint="eastAsia" w:ascii="Times New Roman" w:hAnsi="Times New Roman" w:cs="Times New Roman"/>
          <w:b w:val="0"/>
          <w:bCs w:val="0"/>
          <w:sz w:val="32"/>
          <w:szCs w:val="32"/>
          <w:lang w:val="en-US" w:eastAsia="zh-CN"/>
        </w:rPr>
        <w:t>近5年</w:t>
      </w:r>
      <w:r>
        <w:rPr>
          <w:rFonts w:hint="default" w:ascii="Times New Roman" w:hAnsi="Times New Roman" w:cs="Times New Roman"/>
          <w:b w:val="0"/>
          <w:bCs w:val="0"/>
          <w:sz w:val="32"/>
          <w:szCs w:val="32"/>
        </w:rPr>
        <w:t>科研成果清单及</w:t>
      </w:r>
      <w:r>
        <w:rPr>
          <w:rFonts w:hint="eastAsia" w:ascii="Times New Roman" w:hAnsi="Times New Roman" w:cs="Times New Roman"/>
          <w:b w:val="0"/>
          <w:bCs w:val="0"/>
          <w:sz w:val="32"/>
          <w:szCs w:val="32"/>
          <w:lang w:val="en-US" w:eastAsia="zh-CN"/>
        </w:rPr>
        <w:t>相应</w:t>
      </w:r>
      <w:r>
        <w:rPr>
          <w:rFonts w:hint="default" w:ascii="Times New Roman" w:hAnsi="Times New Roman" w:cs="Times New Roman"/>
          <w:b w:val="0"/>
          <w:bCs w:val="0"/>
          <w:sz w:val="32"/>
          <w:szCs w:val="32"/>
        </w:rPr>
        <w:t>证明材料（含博士论文摘要）；</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firstLine="640"/>
        <w:textAlignment w:val="baseline"/>
        <w:rPr>
          <w:rFonts w:hint="default" w:ascii="Times New Roman" w:hAnsi="Times New Roman" w:cs="Times New Roman"/>
          <w:b w:val="0"/>
          <w:bCs w:val="0"/>
          <w:sz w:val="32"/>
          <w:szCs w:val="32"/>
        </w:rPr>
      </w:pPr>
      <w:r>
        <w:rPr>
          <w:rFonts w:hint="eastAsia" w:ascii="Times New Roman" w:hAnsi="Times New Roman" w:cs="Times New Roman"/>
          <w:b w:val="0"/>
          <w:bCs w:val="0"/>
          <w:sz w:val="32"/>
          <w:szCs w:val="32"/>
          <w:lang w:val="en-US" w:eastAsia="zh-CN"/>
        </w:rPr>
        <w:t>3</w:t>
      </w:r>
      <w:r>
        <w:rPr>
          <w:rFonts w:hint="default" w:ascii="Times New Roman" w:hAnsi="Times New Roman" w:cs="Times New Roman"/>
          <w:b w:val="0"/>
          <w:bCs w:val="0"/>
          <w:sz w:val="32"/>
          <w:szCs w:val="32"/>
        </w:rPr>
        <w:t>.有效身份证件复印件（正反两面）；</w:t>
      </w:r>
    </w:p>
    <w:p>
      <w:pPr>
        <w:spacing w:line="360" w:lineRule="auto"/>
        <w:ind w:left="638" w:leftChars="304" w:firstLine="0" w:firstLineChars="0"/>
        <w:jc w:val="left"/>
        <w:rPr>
          <w:rFonts w:hint="default" w:ascii="Times New Roman" w:hAnsi="Times New Roman" w:eastAsia="仿宋"/>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、联系方式</w:t>
      </w:r>
      <w:r>
        <w:rPr>
          <w:rFonts w:hint="eastAsia" w:ascii="宋体" w:hAnsi="宋体" w:eastAsia="宋体" w:cs="宋体"/>
          <w:kern w:val="0"/>
          <w:sz w:val="24"/>
          <w:szCs w:val="24"/>
        </w:rPr>
        <w:br w:type="textWrapping"/>
      </w:r>
      <w:r>
        <w:rPr>
          <w:rFonts w:hint="eastAsia" w:ascii="Times New Roman" w:hAnsi="Times New Roman" w:eastAsia="仿宋"/>
          <w:sz w:val="32"/>
          <w:szCs w:val="32"/>
          <w:lang w:val="en-US" w:eastAsia="zh-CN"/>
        </w:rPr>
        <w:t>电话： 020-</w:t>
      </w:r>
      <w:r>
        <w:rPr>
          <w:rFonts w:hint="default" w:ascii="Times New Roman" w:hAnsi="Times New Roman" w:eastAsia="仿宋"/>
          <w:sz w:val="32"/>
          <w:szCs w:val="32"/>
          <w:lang w:val="en-US" w:eastAsia="zh-CN"/>
        </w:rPr>
        <w:t>85227129</w:t>
      </w:r>
      <w:r>
        <w:rPr>
          <w:rFonts w:hint="eastAsia" w:ascii="Times New Roman" w:hAnsi="Times New Roman" w:eastAsia="仿宋"/>
          <w:sz w:val="32"/>
          <w:szCs w:val="32"/>
          <w:lang w:val="en-US" w:eastAsia="zh-CN"/>
        </w:rPr>
        <w:br w:type="textWrapping"/>
      </w:r>
      <w:r>
        <w:rPr>
          <w:rFonts w:hint="eastAsia" w:ascii="Times New Roman" w:hAnsi="Times New Roman" w:eastAsia="仿宋"/>
          <w:sz w:val="32"/>
          <w:szCs w:val="32"/>
          <w:lang w:val="en-US" w:eastAsia="zh-CN"/>
        </w:rPr>
        <w:t>联系人：金老师</w:t>
      </w:r>
    </w:p>
    <w:p>
      <w:pPr>
        <w:spacing w:line="360" w:lineRule="auto"/>
        <w:ind w:firstLine="640" w:firstLineChars="200"/>
        <w:jc w:val="left"/>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通讯地址：广州市天河区黄埔大道西6</w:t>
      </w:r>
      <w:r>
        <w:rPr>
          <w:rFonts w:hint="default" w:ascii="Times New Roman" w:hAnsi="Times New Roman" w:eastAsia="仿宋"/>
          <w:sz w:val="32"/>
          <w:szCs w:val="32"/>
          <w:lang w:val="en-US" w:eastAsia="zh-CN"/>
        </w:rPr>
        <w:t>01</w:t>
      </w:r>
      <w:r>
        <w:rPr>
          <w:rFonts w:hint="eastAsia" w:ascii="Times New Roman" w:hAnsi="Times New Roman" w:eastAsia="仿宋"/>
          <w:sz w:val="32"/>
          <w:szCs w:val="32"/>
          <w:lang w:val="en-US" w:eastAsia="zh-CN"/>
        </w:rPr>
        <w:t>号暨南大学管理学院2</w:t>
      </w:r>
      <w:r>
        <w:rPr>
          <w:rFonts w:hint="default" w:ascii="Times New Roman" w:hAnsi="Times New Roman" w:eastAsia="仿宋"/>
          <w:sz w:val="32"/>
          <w:szCs w:val="32"/>
          <w:lang w:val="en-US" w:eastAsia="zh-CN"/>
        </w:rPr>
        <w:t>13</w:t>
      </w:r>
    </w:p>
    <w:p>
      <w:pPr>
        <w:rPr>
          <w:rFonts w:hint="eastAsia" w:ascii="Times New Roman" w:hAnsi="Times New Roman" w:eastAsia="仿宋"/>
          <w:sz w:val="32"/>
          <w:szCs w:val="32"/>
          <w:lang w:val="en-US" w:eastAsia="zh-CN"/>
        </w:rPr>
      </w:pPr>
      <w:r>
        <w:rPr>
          <w:rFonts w:hint="default" w:ascii="Times New Roman" w:hAnsi="Times New Roman" w:eastAsia="仿宋"/>
          <w:sz w:val="32"/>
          <w:szCs w:val="32"/>
          <w:lang w:val="en-US" w:eastAsia="zh-CN"/>
        </w:rPr>
        <w:br w:type="page"/>
      </w:r>
    </w:p>
    <w:p>
      <w:pPr>
        <w:pStyle w:val="5"/>
        <w:widowControl/>
        <w:spacing w:before="0" w:beforeAutospacing="0" w:after="0" w:afterAutospacing="0" w:line="600" w:lineRule="exact"/>
        <w:textAlignment w:val="baseline"/>
        <w:rPr>
          <w:rFonts w:hint="eastAsia" w:ascii="仿宋" w:hAnsi="仿宋" w:eastAsia="仿宋"/>
          <w:kern w:val="2"/>
          <w:sz w:val="32"/>
          <w:szCs w:val="32"/>
        </w:rPr>
      </w:pPr>
      <w:r>
        <w:rPr>
          <w:rFonts w:hint="eastAsia" w:ascii="仿宋" w:hAnsi="仿宋" w:eastAsia="仿宋"/>
          <w:kern w:val="2"/>
          <w:sz w:val="32"/>
          <w:szCs w:val="32"/>
        </w:rPr>
        <w:t>附件1：</w:t>
      </w:r>
    </w:p>
    <w:p>
      <w:pPr>
        <w:jc w:val="center"/>
        <w:outlineLvl w:val="1"/>
        <w:rPr>
          <w:rFonts w:ascii="宋体" w:hAnsi="宋体"/>
          <w:b/>
          <w:bCs/>
          <w:snapToGrid w:val="0"/>
          <w:kern w:val="20"/>
          <w:sz w:val="28"/>
          <w:szCs w:val="28"/>
          <w:shd w:val="clear" w:color="auto" w:fill="FFFFFF"/>
        </w:rPr>
      </w:pPr>
      <w:r>
        <w:rPr>
          <w:rFonts w:hint="eastAsia" w:ascii="宋体" w:hAnsi="宋体"/>
          <w:b/>
          <w:bCs/>
          <w:snapToGrid w:val="0"/>
          <w:kern w:val="20"/>
          <w:sz w:val="28"/>
          <w:szCs w:val="28"/>
          <w:shd w:val="clear" w:color="auto" w:fill="FFFFFF"/>
        </w:rPr>
        <w:t>工商管理学科博士后科研流动站研究方向及主要合作导师</w:t>
      </w:r>
    </w:p>
    <w:tbl>
      <w:tblPr>
        <w:tblStyle w:val="6"/>
        <w:tblpPr w:leftFromText="180" w:rightFromText="180" w:vertAnchor="text" w:horzAnchor="page" w:tblpX="2371" w:tblpY="1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1"/>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761" w:type="dxa"/>
            <w:shd w:val="clear" w:color="auto" w:fill="auto"/>
            <w:vAlign w:val="center"/>
          </w:tcPr>
          <w:p>
            <w:pPr>
              <w:widowControl/>
              <w:spacing w:line="255" w:lineRule="atLeast"/>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会计学</w:t>
            </w:r>
          </w:p>
        </w:tc>
        <w:tc>
          <w:tcPr>
            <w:tcW w:w="2664" w:type="dxa"/>
            <w:shd w:val="clear" w:color="auto" w:fill="auto"/>
            <w:vAlign w:val="center"/>
          </w:tcPr>
          <w:p>
            <w:pPr>
              <w:widowControl/>
              <w:spacing w:line="255" w:lineRule="atLeast"/>
              <w:jc w:val="center"/>
              <w:rPr>
                <w:rFonts w:hint="eastAsia" w:ascii="仿宋" w:hAnsi="仿宋" w:eastAsia="仿宋" w:cs="仿宋"/>
                <w:b/>
                <w:bCs/>
                <w:color w:val="000000"/>
                <w:kern w:val="0"/>
                <w:sz w:val="24"/>
                <w:lang w:val="en-US" w:eastAsia="zh-CN"/>
              </w:rPr>
            </w:pPr>
            <w:r>
              <w:rPr>
                <w:rFonts w:hint="eastAsia" w:ascii="仿宋" w:hAnsi="仿宋" w:eastAsia="仿宋" w:cs="仿宋"/>
                <w:b/>
                <w:bCs/>
                <w:color w:val="000000"/>
                <w:kern w:val="0"/>
                <w:sz w:val="24"/>
                <w:lang w:val="en-US" w:eastAsia="zh-CN"/>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1" w:type="dxa"/>
            <w:shd w:val="clear" w:color="auto" w:fill="auto"/>
            <w:vAlign w:val="center"/>
          </w:tcPr>
          <w:p>
            <w:pPr>
              <w:widowControl/>
              <w:spacing w:line="255" w:lineRule="atLeast"/>
              <w:jc w:val="left"/>
              <w:rPr>
                <w:rFonts w:ascii="仿宋" w:hAnsi="仿宋" w:eastAsia="仿宋" w:cs="仿宋"/>
                <w:color w:val="000000"/>
                <w:kern w:val="0"/>
                <w:sz w:val="40"/>
                <w:szCs w:val="40"/>
              </w:rPr>
            </w:pPr>
            <w:r>
              <w:rPr>
                <w:rFonts w:hint="eastAsia" w:ascii="仿宋" w:hAnsi="仿宋" w:eastAsia="仿宋" w:cs="仿宋"/>
                <w:color w:val="000000"/>
                <w:kern w:val="0"/>
                <w:sz w:val="24"/>
              </w:rPr>
              <w:t>01资本市场发展与会计研究</w:t>
            </w:r>
          </w:p>
        </w:tc>
        <w:tc>
          <w:tcPr>
            <w:tcW w:w="2664"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饶品贵</w:t>
            </w:r>
          </w:p>
          <w:p>
            <w:pPr>
              <w:widowControl/>
              <w:spacing w:line="255" w:lineRule="atLeast"/>
              <w:jc w:val="left"/>
              <w:rPr>
                <w:rFonts w:ascii="仿宋" w:hAnsi="仿宋" w:eastAsia="仿宋" w:cs="仿宋"/>
                <w:color w:val="000000"/>
                <w:kern w:val="0"/>
                <w:sz w:val="40"/>
                <w:szCs w:val="40"/>
              </w:rPr>
            </w:pPr>
            <w:r>
              <w:rPr>
                <w:rFonts w:hint="eastAsia" w:ascii="仿宋" w:hAnsi="仿宋" w:eastAsia="仿宋" w:cs="仿宋"/>
                <w:color w:val="000000"/>
                <w:kern w:val="0"/>
                <w:sz w:val="24"/>
              </w:rPr>
              <w:t>杨德明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1" w:type="dxa"/>
            <w:shd w:val="clear" w:color="auto" w:fill="auto"/>
            <w:vAlign w:val="center"/>
          </w:tcPr>
          <w:p>
            <w:pPr>
              <w:widowControl/>
              <w:spacing w:line="255" w:lineRule="atLeast"/>
              <w:jc w:val="left"/>
              <w:rPr>
                <w:rFonts w:ascii="仿宋" w:hAnsi="仿宋" w:eastAsia="仿宋" w:cs="仿宋"/>
                <w:color w:val="000000"/>
                <w:kern w:val="0"/>
                <w:sz w:val="40"/>
                <w:szCs w:val="40"/>
              </w:rPr>
            </w:pPr>
            <w:r>
              <w:rPr>
                <w:rFonts w:hint="eastAsia" w:ascii="仿宋" w:hAnsi="仿宋" w:eastAsia="仿宋" w:cs="仿宋"/>
                <w:color w:val="000000"/>
                <w:kern w:val="0"/>
                <w:sz w:val="24"/>
              </w:rPr>
              <w:t>02公司治理与信息披露机制研究</w:t>
            </w:r>
          </w:p>
        </w:tc>
        <w:tc>
          <w:tcPr>
            <w:tcW w:w="2664"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白华</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刘莎莎</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沈洪涛</w:t>
            </w:r>
          </w:p>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曾亚敏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1" w:type="dxa"/>
            <w:shd w:val="clear" w:color="auto" w:fill="auto"/>
            <w:vAlign w:val="center"/>
          </w:tcPr>
          <w:p>
            <w:pPr>
              <w:widowControl/>
              <w:spacing w:line="255" w:lineRule="atLeast"/>
              <w:jc w:val="center"/>
              <w:rPr>
                <w:rFonts w:ascii="仿宋" w:hAnsi="仿宋" w:eastAsia="仿宋" w:cs="仿宋"/>
                <w:color w:val="000000"/>
                <w:kern w:val="0"/>
                <w:sz w:val="32"/>
                <w:szCs w:val="32"/>
              </w:rPr>
            </w:pPr>
            <w:r>
              <w:rPr>
                <w:rFonts w:hint="eastAsia" w:ascii="仿宋" w:hAnsi="仿宋" w:eastAsia="仿宋" w:cs="仿宋"/>
                <w:b/>
                <w:bCs/>
                <w:color w:val="000000"/>
                <w:kern w:val="0"/>
                <w:sz w:val="24"/>
              </w:rPr>
              <w:t>企业管理</w:t>
            </w:r>
          </w:p>
        </w:tc>
        <w:tc>
          <w:tcPr>
            <w:tcW w:w="2664" w:type="dxa"/>
            <w:shd w:val="clear" w:color="auto" w:fill="auto"/>
            <w:vAlign w:val="center"/>
          </w:tcPr>
          <w:p>
            <w:pPr>
              <w:widowControl/>
              <w:jc w:val="left"/>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761"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01管理决策</w:t>
            </w:r>
          </w:p>
        </w:tc>
        <w:tc>
          <w:tcPr>
            <w:tcW w:w="2664" w:type="dxa"/>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左小德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1"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02生产运营与物流管理</w:t>
            </w:r>
          </w:p>
        </w:tc>
        <w:tc>
          <w:tcPr>
            <w:tcW w:w="2664" w:type="dxa"/>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王国庆</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欧锦文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761" w:type="dxa"/>
            <w:shd w:val="clear" w:color="auto" w:fill="auto"/>
            <w:vAlign w:val="center"/>
          </w:tcPr>
          <w:p>
            <w:pPr>
              <w:widowControl/>
              <w:spacing w:line="255" w:lineRule="atLeast"/>
              <w:jc w:val="left"/>
              <w:rPr>
                <w:rFonts w:hint="default" w:ascii="仿宋" w:hAnsi="仿宋" w:eastAsia="仿宋" w:cs="仿宋"/>
                <w:color w:val="000000"/>
                <w:kern w:val="0"/>
                <w:sz w:val="24"/>
                <w:lang w:val="en-US"/>
              </w:rPr>
            </w:pPr>
            <w:r>
              <w:rPr>
                <w:rFonts w:hint="eastAsia" w:ascii="仿宋" w:hAnsi="仿宋" w:eastAsia="仿宋" w:cs="仿宋"/>
                <w:color w:val="000000"/>
                <w:kern w:val="0"/>
                <w:sz w:val="24"/>
              </w:rPr>
              <w:t>0</w:t>
            </w:r>
            <w:r>
              <w:rPr>
                <w:rFonts w:hint="eastAsia" w:ascii="仿宋" w:hAnsi="仿宋" w:eastAsia="仿宋" w:cs="仿宋"/>
                <w:color w:val="000000"/>
                <w:kern w:val="0"/>
                <w:sz w:val="24"/>
                <w:lang w:val="en-US" w:eastAsia="zh-CN"/>
              </w:rPr>
              <w:t>3 战略管理</w:t>
            </w:r>
          </w:p>
        </w:tc>
        <w:tc>
          <w:tcPr>
            <w:tcW w:w="2664" w:type="dxa"/>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刘人怀</w:t>
            </w:r>
          </w:p>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文彤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761"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w:t>
            </w:r>
            <w:r>
              <w:rPr>
                <w:rFonts w:hint="eastAsia" w:ascii="仿宋" w:hAnsi="仿宋" w:eastAsia="仿宋" w:cs="仿宋"/>
                <w:color w:val="000000"/>
                <w:kern w:val="0"/>
                <w:sz w:val="24"/>
                <w:lang w:val="en-US" w:eastAsia="zh-CN"/>
              </w:rPr>
              <w:t>4</w:t>
            </w:r>
            <w:r>
              <w:rPr>
                <w:rFonts w:hint="eastAsia" w:ascii="仿宋" w:hAnsi="仿宋" w:eastAsia="仿宋" w:cs="仿宋"/>
                <w:color w:val="000000"/>
                <w:kern w:val="0"/>
                <w:sz w:val="24"/>
              </w:rPr>
              <w:t>企业制度与公司治理</w:t>
            </w:r>
          </w:p>
        </w:tc>
        <w:tc>
          <w:tcPr>
            <w:tcW w:w="2664" w:type="dxa"/>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刘汉民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761"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w:t>
            </w:r>
            <w:r>
              <w:rPr>
                <w:rFonts w:hint="eastAsia" w:ascii="仿宋" w:hAnsi="仿宋" w:eastAsia="仿宋" w:cs="仿宋"/>
                <w:color w:val="000000"/>
                <w:kern w:val="0"/>
                <w:sz w:val="24"/>
                <w:lang w:val="en-US" w:eastAsia="zh-CN"/>
              </w:rPr>
              <w:t>5</w:t>
            </w:r>
            <w:r>
              <w:rPr>
                <w:rFonts w:hint="eastAsia" w:ascii="仿宋" w:hAnsi="仿宋" w:eastAsia="仿宋" w:cs="仿宋"/>
                <w:color w:val="000000"/>
                <w:kern w:val="0"/>
                <w:sz w:val="24"/>
              </w:rPr>
              <w:t>跨文化管理</w:t>
            </w:r>
          </w:p>
        </w:tc>
        <w:tc>
          <w:tcPr>
            <w:tcW w:w="2664" w:type="dxa"/>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胡军</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王霄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761"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w:t>
            </w:r>
            <w:r>
              <w:rPr>
                <w:rFonts w:hint="eastAsia" w:ascii="仿宋" w:hAnsi="仿宋" w:eastAsia="仿宋" w:cs="仿宋"/>
                <w:color w:val="000000"/>
                <w:kern w:val="0"/>
                <w:sz w:val="24"/>
                <w:lang w:val="en-US" w:eastAsia="zh-CN"/>
              </w:rPr>
              <w:t>6</w:t>
            </w:r>
            <w:r>
              <w:rPr>
                <w:rFonts w:hint="eastAsia" w:ascii="仿宋" w:hAnsi="仿宋" w:eastAsia="仿宋" w:cs="仿宋"/>
                <w:color w:val="000000"/>
                <w:kern w:val="0"/>
                <w:sz w:val="24"/>
              </w:rPr>
              <w:t>组织行为研究</w:t>
            </w:r>
          </w:p>
        </w:tc>
        <w:tc>
          <w:tcPr>
            <w:tcW w:w="2664"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严鸣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4761" w:type="dxa"/>
            <w:shd w:val="clear" w:color="auto" w:fill="auto"/>
            <w:vAlign w:val="center"/>
          </w:tcPr>
          <w:p>
            <w:pPr>
              <w:widowControl/>
              <w:spacing w:line="255" w:lineRule="atLeast"/>
              <w:jc w:val="center"/>
              <w:rPr>
                <w:rFonts w:ascii="仿宋" w:hAnsi="仿宋" w:eastAsia="仿宋" w:cs="仿宋"/>
                <w:color w:val="000000"/>
                <w:kern w:val="0"/>
                <w:szCs w:val="21"/>
              </w:rPr>
            </w:pPr>
            <w:r>
              <w:rPr>
                <w:rFonts w:hint="eastAsia" w:ascii="仿宋" w:hAnsi="仿宋" w:eastAsia="仿宋" w:cs="仿宋"/>
                <w:b/>
                <w:bCs/>
                <w:color w:val="000000"/>
                <w:kern w:val="0"/>
                <w:sz w:val="24"/>
              </w:rPr>
              <w:t>旅游管理</w:t>
            </w:r>
          </w:p>
        </w:tc>
        <w:tc>
          <w:tcPr>
            <w:tcW w:w="2664" w:type="dxa"/>
            <w:shd w:val="clear" w:color="auto" w:fill="auto"/>
            <w:vAlign w:val="center"/>
          </w:tcPr>
          <w:p>
            <w:pPr>
              <w:widowControl/>
              <w:spacing w:line="255" w:lineRule="atLeast"/>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1"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01旅游工程研究</w:t>
            </w:r>
          </w:p>
        </w:tc>
        <w:tc>
          <w:tcPr>
            <w:tcW w:w="2664"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刘人怀</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章牧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1"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02旅游开发与管理研究</w:t>
            </w:r>
          </w:p>
        </w:tc>
        <w:tc>
          <w:tcPr>
            <w:tcW w:w="2664" w:type="dxa"/>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王华</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刘益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03 服务企业管理</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温碧燕</w:t>
            </w:r>
          </w:p>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文吉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0" w:type="auto"/>
            <w:shd w:val="clear" w:color="auto" w:fill="auto"/>
            <w:vAlign w:val="center"/>
          </w:tcPr>
          <w:p>
            <w:pPr>
              <w:widowControl/>
              <w:spacing w:line="255" w:lineRule="atLeast"/>
              <w:jc w:val="center"/>
              <w:rPr>
                <w:rFonts w:ascii="仿宋" w:hAnsi="仿宋" w:eastAsia="仿宋" w:cs="仿宋"/>
                <w:color w:val="000000"/>
                <w:kern w:val="0"/>
                <w:szCs w:val="21"/>
              </w:rPr>
            </w:pPr>
            <w:r>
              <w:rPr>
                <w:rFonts w:hint="eastAsia" w:ascii="仿宋" w:hAnsi="仿宋" w:eastAsia="仿宋" w:cs="仿宋"/>
                <w:b/>
                <w:bCs/>
                <w:color w:val="000000"/>
                <w:kern w:val="0"/>
                <w:sz w:val="24"/>
              </w:rPr>
              <w:t>技术经济及管理</w:t>
            </w:r>
          </w:p>
        </w:tc>
        <w:tc>
          <w:tcPr>
            <w:tcW w:w="0" w:type="auto"/>
            <w:shd w:val="clear" w:color="auto" w:fill="auto"/>
            <w:vAlign w:val="center"/>
          </w:tcPr>
          <w:p>
            <w:pPr>
              <w:widowControl/>
              <w:spacing w:line="255" w:lineRule="atLeast"/>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01创业管理</w:t>
            </w:r>
          </w:p>
        </w:tc>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苏晓华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02创业创新与知识产权管理</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张耀辉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03创业投融资管理</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吴恒煜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0" w:type="auto"/>
            <w:shd w:val="clear" w:color="auto" w:fill="auto"/>
            <w:vAlign w:val="center"/>
          </w:tcPr>
          <w:p>
            <w:pPr>
              <w:widowControl/>
              <w:spacing w:line="255" w:lineRule="atLeast"/>
              <w:jc w:val="center"/>
              <w:rPr>
                <w:rFonts w:ascii="仿宋" w:hAnsi="仿宋" w:eastAsia="仿宋" w:cs="仿宋"/>
                <w:color w:val="000000"/>
                <w:kern w:val="0"/>
                <w:szCs w:val="21"/>
              </w:rPr>
            </w:pPr>
            <w:r>
              <w:rPr>
                <w:rFonts w:hint="eastAsia" w:ascii="仿宋" w:hAnsi="仿宋" w:eastAsia="仿宋" w:cs="仿宋"/>
                <w:b/>
                <w:bCs/>
                <w:color w:val="000000"/>
                <w:kern w:val="0"/>
                <w:sz w:val="24"/>
              </w:rPr>
              <w:t>国际商务</w:t>
            </w:r>
          </w:p>
        </w:tc>
        <w:tc>
          <w:tcPr>
            <w:tcW w:w="0" w:type="auto"/>
            <w:shd w:val="clear" w:color="auto" w:fill="auto"/>
            <w:vAlign w:val="center"/>
          </w:tcPr>
          <w:p>
            <w:pPr>
              <w:widowControl/>
              <w:spacing w:line="255" w:lineRule="atLeast"/>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01品牌管理与营销战略</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卫海英</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陈海权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02消费行为研究与国际营销</w:t>
            </w:r>
          </w:p>
        </w:tc>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杨德锋</w:t>
            </w:r>
          </w:p>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范兆斌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0" w:type="auto"/>
            <w:shd w:val="clear" w:color="auto" w:fill="auto"/>
            <w:vAlign w:val="center"/>
          </w:tcPr>
          <w:p>
            <w:pPr>
              <w:widowControl/>
              <w:spacing w:line="255" w:lineRule="atLeast"/>
              <w:jc w:val="center"/>
              <w:rPr>
                <w:rFonts w:ascii="仿宋" w:hAnsi="仿宋" w:eastAsia="仿宋" w:cs="仿宋"/>
                <w:color w:val="000000"/>
                <w:kern w:val="0"/>
                <w:szCs w:val="21"/>
              </w:rPr>
            </w:pPr>
            <w:r>
              <w:rPr>
                <w:rFonts w:hint="eastAsia" w:ascii="仿宋" w:hAnsi="仿宋" w:eastAsia="仿宋" w:cs="仿宋"/>
                <w:b/>
                <w:bCs/>
                <w:color w:val="000000"/>
                <w:kern w:val="0"/>
                <w:sz w:val="24"/>
              </w:rPr>
              <w:t>财务管理</w:t>
            </w:r>
          </w:p>
        </w:tc>
        <w:tc>
          <w:tcPr>
            <w:tcW w:w="0" w:type="auto"/>
            <w:shd w:val="clear" w:color="auto" w:fill="auto"/>
            <w:vAlign w:val="center"/>
          </w:tcPr>
          <w:p>
            <w:pPr>
              <w:widowControl/>
              <w:spacing w:line="255" w:lineRule="atLeast"/>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01财务理论与机制</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4"/>
              </w:rPr>
              <w:t>宋献中</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肖继辉</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窦欢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02资本运营与财务战略</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宋献中</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黎文靖</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熊剑</w:t>
            </w:r>
          </w:p>
          <w:p>
            <w:pPr>
              <w:widowControl/>
              <w:spacing w:line="255"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4"/>
              </w:rPr>
              <w:t>朱滔</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窦欢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03行为财务与资产定价</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吴战篪</w:t>
            </w:r>
          </w:p>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姚加权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04战略管理会计</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朱滔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0" w:type="auto"/>
            <w:shd w:val="clear" w:color="auto" w:fill="auto"/>
            <w:vAlign w:val="center"/>
          </w:tcPr>
          <w:p>
            <w:pPr>
              <w:widowControl/>
              <w:spacing w:line="255" w:lineRule="atLeast"/>
              <w:jc w:val="center"/>
              <w:rPr>
                <w:rFonts w:ascii="仿宋" w:hAnsi="仿宋" w:eastAsia="仿宋" w:cs="仿宋"/>
                <w:color w:val="000000"/>
                <w:kern w:val="0"/>
                <w:szCs w:val="21"/>
              </w:rPr>
            </w:pPr>
            <w:r>
              <w:rPr>
                <w:rFonts w:hint="eastAsia" w:ascii="仿宋" w:hAnsi="仿宋" w:eastAsia="仿宋" w:cs="仿宋"/>
                <w:b/>
                <w:bCs/>
                <w:color w:val="000000"/>
                <w:kern w:val="0"/>
                <w:sz w:val="24"/>
              </w:rPr>
              <w:t>组织行为学与人力资源管理</w:t>
            </w:r>
          </w:p>
        </w:tc>
        <w:tc>
          <w:tcPr>
            <w:tcW w:w="0" w:type="auto"/>
            <w:shd w:val="clear" w:color="auto" w:fill="auto"/>
            <w:vAlign w:val="center"/>
          </w:tcPr>
          <w:p>
            <w:pPr>
              <w:widowControl/>
              <w:spacing w:line="255" w:lineRule="atLeast"/>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01组织行为</w:t>
            </w:r>
          </w:p>
        </w:tc>
        <w:tc>
          <w:tcPr>
            <w:tcW w:w="0" w:type="auto"/>
            <w:shd w:val="clear" w:color="auto" w:fill="auto"/>
            <w:vAlign w:val="center"/>
          </w:tcPr>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李爱梅</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王玮</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朱瑜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0" w:type="auto"/>
            <w:shd w:val="clear" w:color="auto" w:fill="auto"/>
            <w:vAlign w:val="center"/>
          </w:tcPr>
          <w:p>
            <w:pPr>
              <w:widowControl/>
              <w:spacing w:line="255" w:lineRule="atLeast"/>
              <w:jc w:val="left"/>
              <w:rPr>
                <w:rFonts w:ascii="仿宋" w:hAnsi="仿宋" w:eastAsia="仿宋" w:cs="仿宋"/>
                <w:color w:val="000000"/>
                <w:kern w:val="0"/>
                <w:sz w:val="24"/>
              </w:rPr>
            </w:pPr>
            <w:r>
              <w:rPr>
                <w:rFonts w:hint="eastAsia" w:ascii="仿宋" w:hAnsi="仿宋" w:eastAsia="仿宋" w:cs="仿宋"/>
                <w:color w:val="000000"/>
                <w:kern w:val="0"/>
                <w:sz w:val="24"/>
              </w:rPr>
              <w:t>02人力资源管理</w:t>
            </w:r>
          </w:p>
        </w:tc>
        <w:tc>
          <w:tcPr>
            <w:tcW w:w="0" w:type="auto"/>
            <w:shd w:val="clear" w:color="auto" w:fill="auto"/>
            <w:vAlign w:val="center"/>
          </w:tcPr>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刘耀中</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叶茂林</w:t>
            </w:r>
          </w:p>
        </w:tc>
      </w:tr>
    </w:tbl>
    <w:p>
      <w:pPr>
        <w:pStyle w:val="5"/>
        <w:widowControl/>
        <w:spacing w:before="0" w:beforeAutospacing="0" w:after="0" w:afterAutospacing="0" w:line="600" w:lineRule="exact"/>
        <w:textAlignment w:val="baseline"/>
        <w:rPr>
          <w:rFonts w:hint="eastAsia" w:ascii="仿宋" w:hAnsi="仿宋" w:eastAsia="仿宋"/>
          <w:kern w:val="2"/>
          <w:sz w:val="32"/>
          <w:szCs w:val="32"/>
        </w:rPr>
      </w:pPr>
      <w:bookmarkStart w:id="0" w:name="_GoBack"/>
      <w:bookmarkEnd w:id="0"/>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31"/>
    <w:rsid w:val="00014363"/>
    <w:rsid w:val="000654AC"/>
    <w:rsid w:val="000B6279"/>
    <w:rsid w:val="000B6281"/>
    <w:rsid w:val="00155351"/>
    <w:rsid w:val="00163267"/>
    <w:rsid w:val="001A4C9C"/>
    <w:rsid w:val="00206376"/>
    <w:rsid w:val="002A03B3"/>
    <w:rsid w:val="002C22CF"/>
    <w:rsid w:val="00305905"/>
    <w:rsid w:val="00324731"/>
    <w:rsid w:val="00335A0E"/>
    <w:rsid w:val="00370C2A"/>
    <w:rsid w:val="003A56D4"/>
    <w:rsid w:val="004F4919"/>
    <w:rsid w:val="00504225"/>
    <w:rsid w:val="00505721"/>
    <w:rsid w:val="00531C21"/>
    <w:rsid w:val="00556ABF"/>
    <w:rsid w:val="0061502B"/>
    <w:rsid w:val="00653487"/>
    <w:rsid w:val="00655CD3"/>
    <w:rsid w:val="00764FFD"/>
    <w:rsid w:val="007E7E2F"/>
    <w:rsid w:val="00843411"/>
    <w:rsid w:val="008B69D7"/>
    <w:rsid w:val="008E39ED"/>
    <w:rsid w:val="009678C6"/>
    <w:rsid w:val="009C4E17"/>
    <w:rsid w:val="009D7441"/>
    <w:rsid w:val="009F52EA"/>
    <w:rsid w:val="00A564E1"/>
    <w:rsid w:val="00A70AA9"/>
    <w:rsid w:val="00A72D09"/>
    <w:rsid w:val="00A81860"/>
    <w:rsid w:val="00AF3A85"/>
    <w:rsid w:val="00B423E4"/>
    <w:rsid w:val="00B56DB4"/>
    <w:rsid w:val="00B84C9E"/>
    <w:rsid w:val="00CE6BC6"/>
    <w:rsid w:val="00CF0B31"/>
    <w:rsid w:val="00D10490"/>
    <w:rsid w:val="00D27137"/>
    <w:rsid w:val="00E14CB0"/>
    <w:rsid w:val="00E269AC"/>
    <w:rsid w:val="00E524B5"/>
    <w:rsid w:val="00EB2EBC"/>
    <w:rsid w:val="00F433AC"/>
    <w:rsid w:val="00F76C56"/>
    <w:rsid w:val="01142DB7"/>
    <w:rsid w:val="018D6A9C"/>
    <w:rsid w:val="0268766C"/>
    <w:rsid w:val="02740BE4"/>
    <w:rsid w:val="02866093"/>
    <w:rsid w:val="02A21348"/>
    <w:rsid w:val="02BB2F82"/>
    <w:rsid w:val="02C243C5"/>
    <w:rsid w:val="02CB5029"/>
    <w:rsid w:val="036F6B27"/>
    <w:rsid w:val="04281D7B"/>
    <w:rsid w:val="04590471"/>
    <w:rsid w:val="04E91625"/>
    <w:rsid w:val="053C6EDC"/>
    <w:rsid w:val="05DF16B9"/>
    <w:rsid w:val="065615A0"/>
    <w:rsid w:val="06937E68"/>
    <w:rsid w:val="0766372F"/>
    <w:rsid w:val="076869D0"/>
    <w:rsid w:val="078F1EEC"/>
    <w:rsid w:val="07D74C37"/>
    <w:rsid w:val="082300EC"/>
    <w:rsid w:val="08253296"/>
    <w:rsid w:val="08330F6E"/>
    <w:rsid w:val="087C2C16"/>
    <w:rsid w:val="08916ABF"/>
    <w:rsid w:val="08960B8C"/>
    <w:rsid w:val="08DB5BE8"/>
    <w:rsid w:val="08EC1763"/>
    <w:rsid w:val="09623B58"/>
    <w:rsid w:val="0AC05EBA"/>
    <w:rsid w:val="0AC25991"/>
    <w:rsid w:val="0AC51722"/>
    <w:rsid w:val="0B18030C"/>
    <w:rsid w:val="0B7109D4"/>
    <w:rsid w:val="0B905824"/>
    <w:rsid w:val="0C1B5A9E"/>
    <w:rsid w:val="0C9A2037"/>
    <w:rsid w:val="0D3E23DD"/>
    <w:rsid w:val="0DB02A05"/>
    <w:rsid w:val="0DB06C17"/>
    <w:rsid w:val="0DD87913"/>
    <w:rsid w:val="0EC058BA"/>
    <w:rsid w:val="0F032819"/>
    <w:rsid w:val="0F2B2A69"/>
    <w:rsid w:val="0F446869"/>
    <w:rsid w:val="0F7B4AA5"/>
    <w:rsid w:val="0F902654"/>
    <w:rsid w:val="1009707F"/>
    <w:rsid w:val="105615FE"/>
    <w:rsid w:val="10E523BD"/>
    <w:rsid w:val="110115D5"/>
    <w:rsid w:val="11013C34"/>
    <w:rsid w:val="11B778E8"/>
    <w:rsid w:val="1268589A"/>
    <w:rsid w:val="12ED682A"/>
    <w:rsid w:val="13561AB1"/>
    <w:rsid w:val="13877EBC"/>
    <w:rsid w:val="13BA6E16"/>
    <w:rsid w:val="140913D5"/>
    <w:rsid w:val="14B178EA"/>
    <w:rsid w:val="14BB1170"/>
    <w:rsid w:val="14C848AB"/>
    <w:rsid w:val="14F90946"/>
    <w:rsid w:val="14FE6AF6"/>
    <w:rsid w:val="150D2643"/>
    <w:rsid w:val="156F4B1F"/>
    <w:rsid w:val="15717642"/>
    <w:rsid w:val="16696150"/>
    <w:rsid w:val="16C168D1"/>
    <w:rsid w:val="16F064D0"/>
    <w:rsid w:val="16FA09A5"/>
    <w:rsid w:val="1739722A"/>
    <w:rsid w:val="18640C04"/>
    <w:rsid w:val="18B461EB"/>
    <w:rsid w:val="19326F2D"/>
    <w:rsid w:val="196B502B"/>
    <w:rsid w:val="19DC59B1"/>
    <w:rsid w:val="1B7B09C3"/>
    <w:rsid w:val="1C49435E"/>
    <w:rsid w:val="1CCD2BAA"/>
    <w:rsid w:val="1D26294B"/>
    <w:rsid w:val="1D3F4B24"/>
    <w:rsid w:val="1DB569F6"/>
    <w:rsid w:val="1E5B441F"/>
    <w:rsid w:val="1EDB39AC"/>
    <w:rsid w:val="1EF119AB"/>
    <w:rsid w:val="1F010EDE"/>
    <w:rsid w:val="1F4845A3"/>
    <w:rsid w:val="1FE4010B"/>
    <w:rsid w:val="1FF5561D"/>
    <w:rsid w:val="202B57EE"/>
    <w:rsid w:val="203B47B6"/>
    <w:rsid w:val="203F3D44"/>
    <w:rsid w:val="20D7421B"/>
    <w:rsid w:val="212642B9"/>
    <w:rsid w:val="21960BC0"/>
    <w:rsid w:val="22D75E1D"/>
    <w:rsid w:val="22E41C96"/>
    <w:rsid w:val="22F55C31"/>
    <w:rsid w:val="234A03B8"/>
    <w:rsid w:val="23BA59BB"/>
    <w:rsid w:val="23DA78BB"/>
    <w:rsid w:val="24354A40"/>
    <w:rsid w:val="24373239"/>
    <w:rsid w:val="24D96440"/>
    <w:rsid w:val="25082726"/>
    <w:rsid w:val="25C642BA"/>
    <w:rsid w:val="25C71D4A"/>
    <w:rsid w:val="25C93FA3"/>
    <w:rsid w:val="25CB14E8"/>
    <w:rsid w:val="25FB7193"/>
    <w:rsid w:val="260308B4"/>
    <w:rsid w:val="264975DB"/>
    <w:rsid w:val="27AC2396"/>
    <w:rsid w:val="27FC27CF"/>
    <w:rsid w:val="280D7EDC"/>
    <w:rsid w:val="285A7CFB"/>
    <w:rsid w:val="2860725A"/>
    <w:rsid w:val="286858DF"/>
    <w:rsid w:val="287F096B"/>
    <w:rsid w:val="28960033"/>
    <w:rsid w:val="29675770"/>
    <w:rsid w:val="29981B3A"/>
    <w:rsid w:val="29AE5912"/>
    <w:rsid w:val="29D007F3"/>
    <w:rsid w:val="29F17613"/>
    <w:rsid w:val="2A840FD7"/>
    <w:rsid w:val="2AE575AE"/>
    <w:rsid w:val="2AE82291"/>
    <w:rsid w:val="2BA15084"/>
    <w:rsid w:val="2C8F75EE"/>
    <w:rsid w:val="2CB41A06"/>
    <w:rsid w:val="2CC167D0"/>
    <w:rsid w:val="2D24207A"/>
    <w:rsid w:val="2DC85E01"/>
    <w:rsid w:val="2DF126AA"/>
    <w:rsid w:val="2DF844EC"/>
    <w:rsid w:val="2E191731"/>
    <w:rsid w:val="2E4322CF"/>
    <w:rsid w:val="2EA01778"/>
    <w:rsid w:val="2EA735C5"/>
    <w:rsid w:val="2FA37CF6"/>
    <w:rsid w:val="2FBC4F16"/>
    <w:rsid w:val="2FE74788"/>
    <w:rsid w:val="302E10D2"/>
    <w:rsid w:val="30B568E3"/>
    <w:rsid w:val="30C94239"/>
    <w:rsid w:val="30F94FD7"/>
    <w:rsid w:val="310318B8"/>
    <w:rsid w:val="31423901"/>
    <w:rsid w:val="316C3A39"/>
    <w:rsid w:val="31AF2660"/>
    <w:rsid w:val="324A4137"/>
    <w:rsid w:val="32AC503B"/>
    <w:rsid w:val="334C44CD"/>
    <w:rsid w:val="338A78AD"/>
    <w:rsid w:val="33CE37C6"/>
    <w:rsid w:val="33EF5F98"/>
    <w:rsid w:val="33F365AB"/>
    <w:rsid w:val="3406482F"/>
    <w:rsid w:val="34137C5D"/>
    <w:rsid w:val="34692D78"/>
    <w:rsid w:val="34737763"/>
    <w:rsid w:val="34B10592"/>
    <w:rsid w:val="35770C61"/>
    <w:rsid w:val="36015DB7"/>
    <w:rsid w:val="361C3172"/>
    <w:rsid w:val="363A7CD2"/>
    <w:rsid w:val="36444389"/>
    <w:rsid w:val="36D93441"/>
    <w:rsid w:val="375A1DDA"/>
    <w:rsid w:val="377503BF"/>
    <w:rsid w:val="37C2289D"/>
    <w:rsid w:val="37EC7900"/>
    <w:rsid w:val="381D1CBC"/>
    <w:rsid w:val="38482A19"/>
    <w:rsid w:val="38500DCB"/>
    <w:rsid w:val="38732995"/>
    <w:rsid w:val="38D6445F"/>
    <w:rsid w:val="391258AC"/>
    <w:rsid w:val="399B5DC5"/>
    <w:rsid w:val="39C62C3D"/>
    <w:rsid w:val="3A5A215B"/>
    <w:rsid w:val="3ABD240F"/>
    <w:rsid w:val="3ACD1220"/>
    <w:rsid w:val="3B2B7CF0"/>
    <w:rsid w:val="3B443215"/>
    <w:rsid w:val="3B527BA2"/>
    <w:rsid w:val="3B555365"/>
    <w:rsid w:val="3B6965C4"/>
    <w:rsid w:val="3B8E793B"/>
    <w:rsid w:val="3C5B06A5"/>
    <w:rsid w:val="3D466E64"/>
    <w:rsid w:val="3D7824A0"/>
    <w:rsid w:val="3DE503B6"/>
    <w:rsid w:val="3E0A00E6"/>
    <w:rsid w:val="3E6F38AE"/>
    <w:rsid w:val="3ECC76F6"/>
    <w:rsid w:val="40741DA6"/>
    <w:rsid w:val="40977409"/>
    <w:rsid w:val="41665DD9"/>
    <w:rsid w:val="42826BAE"/>
    <w:rsid w:val="42D00EFB"/>
    <w:rsid w:val="43006A5E"/>
    <w:rsid w:val="43247877"/>
    <w:rsid w:val="432B2336"/>
    <w:rsid w:val="4335560A"/>
    <w:rsid w:val="43C25AD9"/>
    <w:rsid w:val="444229D2"/>
    <w:rsid w:val="448E733A"/>
    <w:rsid w:val="44CF0785"/>
    <w:rsid w:val="453850DA"/>
    <w:rsid w:val="457853BD"/>
    <w:rsid w:val="45800144"/>
    <w:rsid w:val="45C5566A"/>
    <w:rsid w:val="45D264C6"/>
    <w:rsid w:val="462E6827"/>
    <w:rsid w:val="46471281"/>
    <w:rsid w:val="46527B53"/>
    <w:rsid w:val="46743A0F"/>
    <w:rsid w:val="46985D5A"/>
    <w:rsid w:val="473D1835"/>
    <w:rsid w:val="47402236"/>
    <w:rsid w:val="47A0687C"/>
    <w:rsid w:val="47BC6EA3"/>
    <w:rsid w:val="47E5546C"/>
    <w:rsid w:val="47F02C80"/>
    <w:rsid w:val="487F4C0D"/>
    <w:rsid w:val="489000E4"/>
    <w:rsid w:val="48A81C22"/>
    <w:rsid w:val="48C16DBC"/>
    <w:rsid w:val="48C90D70"/>
    <w:rsid w:val="48DF0989"/>
    <w:rsid w:val="490F2DA3"/>
    <w:rsid w:val="49C70B08"/>
    <w:rsid w:val="4A227F8F"/>
    <w:rsid w:val="4A84478F"/>
    <w:rsid w:val="4AA743C5"/>
    <w:rsid w:val="4AA9493F"/>
    <w:rsid w:val="4ADA010E"/>
    <w:rsid w:val="4B1063D8"/>
    <w:rsid w:val="4B15591A"/>
    <w:rsid w:val="4B7D5262"/>
    <w:rsid w:val="4BA81BAC"/>
    <w:rsid w:val="4C324162"/>
    <w:rsid w:val="4C4B0FE0"/>
    <w:rsid w:val="4C561BFF"/>
    <w:rsid w:val="4C911579"/>
    <w:rsid w:val="4C9D17C9"/>
    <w:rsid w:val="4CA431E4"/>
    <w:rsid w:val="4D05357F"/>
    <w:rsid w:val="4D714E28"/>
    <w:rsid w:val="4DD238BC"/>
    <w:rsid w:val="4E786214"/>
    <w:rsid w:val="50BD0B2F"/>
    <w:rsid w:val="510373B0"/>
    <w:rsid w:val="51490E58"/>
    <w:rsid w:val="51AB547A"/>
    <w:rsid w:val="51B64EEE"/>
    <w:rsid w:val="51C07B1A"/>
    <w:rsid w:val="51D20A83"/>
    <w:rsid w:val="51DD3168"/>
    <w:rsid w:val="521E4D68"/>
    <w:rsid w:val="525E51ED"/>
    <w:rsid w:val="52AD1296"/>
    <w:rsid w:val="52B61649"/>
    <w:rsid w:val="52BD68FC"/>
    <w:rsid w:val="5358114B"/>
    <w:rsid w:val="53955EC4"/>
    <w:rsid w:val="53DA0402"/>
    <w:rsid w:val="542C7431"/>
    <w:rsid w:val="54552C28"/>
    <w:rsid w:val="54A454D1"/>
    <w:rsid w:val="54A726CF"/>
    <w:rsid w:val="54BB2A9A"/>
    <w:rsid w:val="54CB261C"/>
    <w:rsid w:val="54CB2A5F"/>
    <w:rsid w:val="550B5550"/>
    <w:rsid w:val="550D7949"/>
    <w:rsid w:val="551D0BB5"/>
    <w:rsid w:val="555830AD"/>
    <w:rsid w:val="557B0928"/>
    <w:rsid w:val="55844AFD"/>
    <w:rsid w:val="559433CC"/>
    <w:rsid w:val="563C5165"/>
    <w:rsid w:val="56C63E25"/>
    <w:rsid w:val="575F664B"/>
    <w:rsid w:val="577B04DE"/>
    <w:rsid w:val="57C73A1D"/>
    <w:rsid w:val="57EC2746"/>
    <w:rsid w:val="58C7694F"/>
    <w:rsid w:val="59017396"/>
    <w:rsid w:val="5937204C"/>
    <w:rsid w:val="59864920"/>
    <w:rsid w:val="59F84A8C"/>
    <w:rsid w:val="5A0D6632"/>
    <w:rsid w:val="5A917376"/>
    <w:rsid w:val="5B273CBB"/>
    <w:rsid w:val="5B2D01B6"/>
    <w:rsid w:val="5B351579"/>
    <w:rsid w:val="5B896F5E"/>
    <w:rsid w:val="5BDD339B"/>
    <w:rsid w:val="5C107247"/>
    <w:rsid w:val="5C3171B9"/>
    <w:rsid w:val="5C3B3198"/>
    <w:rsid w:val="5CBA4921"/>
    <w:rsid w:val="5CBB78A0"/>
    <w:rsid w:val="5CD43E15"/>
    <w:rsid w:val="5CD75AAD"/>
    <w:rsid w:val="5D65418A"/>
    <w:rsid w:val="5D7F6DA4"/>
    <w:rsid w:val="5DD270FC"/>
    <w:rsid w:val="5DE277F1"/>
    <w:rsid w:val="5DE7739F"/>
    <w:rsid w:val="5DFB4F5A"/>
    <w:rsid w:val="5E8425FB"/>
    <w:rsid w:val="5EF226D0"/>
    <w:rsid w:val="5EFA28BD"/>
    <w:rsid w:val="5F0B08B9"/>
    <w:rsid w:val="5F52703A"/>
    <w:rsid w:val="5FFE1323"/>
    <w:rsid w:val="60017C7C"/>
    <w:rsid w:val="600C653C"/>
    <w:rsid w:val="603F0930"/>
    <w:rsid w:val="6045586A"/>
    <w:rsid w:val="607460F5"/>
    <w:rsid w:val="60AF76D8"/>
    <w:rsid w:val="60E77B76"/>
    <w:rsid w:val="616E30EF"/>
    <w:rsid w:val="617511AB"/>
    <w:rsid w:val="61895B79"/>
    <w:rsid w:val="61DA4DDB"/>
    <w:rsid w:val="6222594D"/>
    <w:rsid w:val="622D6DC4"/>
    <w:rsid w:val="627A79B1"/>
    <w:rsid w:val="62944DD7"/>
    <w:rsid w:val="62AF616B"/>
    <w:rsid w:val="62B826E1"/>
    <w:rsid w:val="63072466"/>
    <w:rsid w:val="632279C7"/>
    <w:rsid w:val="633D3A43"/>
    <w:rsid w:val="635F5DA7"/>
    <w:rsid w:val="6389438B"/>
    <w:rsid w:val="63A6499D"/>
    <w:rsid w:val="63C92665"/>
    <w:rsid w:val="63FB578C"/>
    <w:rsid w:val="64E2601D"/>
    <w:rsid w:val="65437C31"/>
    <w:rsid w:val="659E382B"/>
    <w:rsid w:val="659E5CDF"/>
    <w:rsid w:val="65B63136"/>
    <w:rsid w:val="65D60633"/>
    <w:rsid w:val="65F35E46"/>
    <w:rsid w:val="669110A0"/>
    <w:rsid w:val="66DD4C30"/>
    <w:rsid w:val="67196F91"/>
    <w:rsid w:val="68036D49"/>
    <w:rsid w:val="680A1FD4"/>
    <w:rsid w:val="682549D3"/>
    <w:rsid w:val="68426081"/>
    <w:rsid w:val="68E1410B"/>
    <w:rsid w:val="68EE52D3"/>
    <w:rsid w:val="69242ECB"/>
    <w:rsid w:val="692938A4"/>
    <w:rsid w:val="69FC0BF2"/>
    <w:rsid w:val="69FC69D9"/>
    <w:rsid w:val="6A9E4C69"/>
    <w:rsid w:val="6AC6296F"/>
    <w:rsid w:val="6B162F5B"/>
    <w:rsid w:val="6B343592"/>
    <w:rsid w:val="6B6605C4"/>
    <w:rsid w:val="6B8C00C7"/>
    <w:rsid w:val="6BC727BD"/>
    <w:rsid w:val="6BE91737"/>
    <w:rsid w:val="6BFC7285"/>
    <w:rsid w:val="6C90660F"/>
    <w:rsid w:val="6D3A001F"/>
    <w:rsid w:val="6D7A295D"/>
    <w:rsid w:val="6D850158"/>
    <w:rsid w:val="6E4B5319"/>
    <w:rsid w:val="6E4E0530"/>
    <w:rsid w:val="6E6351A1"/>
    <w:rsid w:val="6EAD4378"/>
    <w:rsid w:val="6EBF3752"/>
    <w:rsid w:val="6ED53A7F"/>
    <w:rsid w:val="6FA8479C"/>
    <w:rsid w:val="702A65AF"/>
    <w:rsid w:val="70853FB1"/>
    <w:rsid w:val="708E240D"/>
    <w:rsid w:val="70A03590"/>
    <w:rsid w:val="70F72E0F"/>
    <w:rsid w:val="72482FFA"/>
    <w:rsid w:val="7248649D"/>
    <w:rsid w:val="7334634E"/>
    <w:rsid w:val="73443891"/>
    <w:rsid w:val="736E2214"/>
    <w:rsid w:val="73804611"/>
    <w:rsid w:val="73E07E7C"/>
    <w:rsid w:val="751B4CFF"/>
    <w:rsid w:val="75371D1E"/>
    <w:rsid w:val="762B1E8F"/>
    <w:rsid w:val="766E37E1"/>
    <w:rsid w:val="768B2DE6"/>
    <w:rsid w:val="769D7FD7"/>
    <w:rsid w:val="76F265F0"/>
    <w:rsid w:val="77040325"/>
    <w:rsid w:val="776B567D"/>
    <w:rsid w:val="779E44DB"/>
    <w:rsid w:val="77B55700"/>
    <w:rsid w:val="77C00261"/>
    <w:rsid w:val="781904A2"/>
    <w:rsid w:val="788F47DA"/>
    <w:rsid w:val="78B577BC"/>
    <w:rsid w:val="79005D27"/>
    <w:rsid w:val="7A14553F"/>
    <w:rsid w:val="7A5F3BBA"/>
    <w:rsid w:val="7ABE4368"/>
    <w:rsid w:val="7B0155E8"/>
    <w:rsid w:val="7B364826"/>
    <w:rsid w:val="7C1E162E"/>
    <w:rsid w:val="7C7750F6"/>
    <w:rsid w:val="7CE63C23"/>
    <w:rsid w:val="7D496A92"/>
    <w:rsid w:val="7DA54A89"/>
    <w:rsid w:val="7DA82AF4"/>
    <w:rsid w:val="7DAD00DE"/>
    <w:rsid w:val="7E0B32AF"/>
    <w:rsid w:val="7E192C93"/>
    <w:rsid w:val="7E1C31FD"/>
    <w:rsid w:val="7E3D5ECB"/>
    <w:rsid w:val="7ED700CE"/>
    <w:rsid w:val="7EE2719E"/>
    <w:rsid w:val="7FBD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snapToGrid w:val="0"/>
      <w:spacing w:before="100" w:beforeAutospacing="1" w:after="100" w:afterAutospacing="1" w:line="360" w:lineRule="auto"/>
      <w:ind w:firstLine="400" w:firstLineChars="200"/>
      <w:outlineLvl w:val="2"/>
    </w:pPr>
    <w:rPr>
      <w:rFonts w:hint="eastAsia" w:ascii="仿宋" w:hAnsi="仿宋" w:eastAsia="仿宋" w:cs="仿宋"/>
      <w:b/>
      <w:bCs/>
      <w:sz w:val="30"/>
      <w:szCs w:val="3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bCs/>
    </w:rPr>
  </w:style>
  <w:style w:type="character" w:styleId="9">
    <w:name w:val="Hyperlink"/>
    <w:basedOn w:val="7"/>
    <w:unhideWhenUsed/>
    <w:qFormat/>
    <w:uiPriority w:val="99"/>
    <w:rPr>
      <w:color w:val="333333"/>
      <w:u w:val="none"/>
    </w:rPr>
  </w:style>
  <w:style w:type="character" w:customStyle="1" w:styleId="10">
    <w:name w:val="Unresolved Mention"/>
    <w:basedOn w:val="7"/>
    <w:semiHidden/>
    <w:unhideWhenUsed/>
    <w:qFormat/>
    <w:uiPriority w:val="99"/>
    <w:rPr>
      <w:color w:val="605E5C"/>
      <w:shd w:val="clear" w:color="auto" w:fill="E1DFDD"/>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607</Words>
  <Characters>3460</Characters>
  <Lines>28</Lines>
  <Paragraphs>8</Paragraphs>
  <TotalTime>9</TotalTime>
  <ScaleCrop>false</ScaleCrop>
  <LinksUpToDate>false</LinksUpToDate>
  <CharactersWithSpaces>4059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2020-10-31T02:15:00Z</dcterms:created>
  <dc:creator>郭 琳</dc:creator>
  <cp:lastModifiedBy>路燕云</cp:lastModifiedBy>
  <dcterms:modified xsi:type="dcterms:W3CDTF">2021-12-31T01:39:38Z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4391EF1B91E4453C9DE9DC3D685EF153</vt:lpwstr>
  </property>
</Properties>
</file>